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D3" w:rsidRDefault="00EE7542" w:rsidP="00EE7542">
      <w:pPr>
        <w:widowControl/>
        <w:shd w:val="clear" w:color="auto" w:fill="FFFFFF"/>
        <w:spacing w:after="210"/>
        <w:ind w:firstLineChars="750" w:firstLine="2595"/>
        <w:jc w:val="left"/>
        <w:outlineLvl w:val="1"/>
        <w:rPr>
          <w:rFonts w:ascii="微软雅黑" w:eastAsia="微软雅黑" w:hAnsi="微软雅黑" w:cs="宋体"/>
          <w:color w:val="333333"/>
          <w:spacing w:val="8"/>
          <w:kern w:val="0"/>
          <w:sz w:val="33"/>
          <w:szCs w:val="33"/>
        </w:rPr>
      </w:pPr>
      <w:r w:rsidRPr="00EE7542">
        <w:rPr>
          <w:rFonts w:ascii="微软雅黑" w:eastAsia="微软雅黑" w:hAnsi="微软雅黑" w:cs="宋体" w:hint="eastAsia"/>
          <w:color w:val="333333"/>
          <w:spacing w:val="8"/>
          <w:kern w:val="0"/>
          <w:sz w:val="33"/>
          <w:szCs w:val="33"/>
        </w:rPr>
        <w:t>“最多跑一次”又升级</w:t>
      </w:r>
      <w:r>
        <w:rPr>
          <w:rFonts w:ascii="微软雅黑" w:eastAsia="微软雅黑" w:hAnsi="微软雅黑" w:cs="宋体" w:hint="eastAsia"/>
          <w:color w:val="333333"/>
          <w:spacing w:val="8"/>
          <w:kern w:val="0"/>
          <w:sz w:val="33"/>
          <w:szCs w:val="33"/>
        </w:rPr>
        <w:t>！</w:t>
      </w:r>
      <w:r w:rsidR="00F101D3" w:rsidRPr="00F101D3">
        <w:rPr>
          <w:rFonts w:ascii="微软雅黑" w:eastAsia="微软雅黑" w:hAnsi="微软雅黑" w:cs="宋体" w:hint="eastAsia"/>
          <w:color w:val="333333"/>
          <w:spacing w:val="8"/>
          <w:kern w:val="0"/>
          <w:sz w:val="33"/>
          <w:szCs w:val="33"/>
        </w:rPr>
        <w:t>28种大病保险特殊用药，</w:t>
      </w:r>
      <w:r w:rsidR="00F101D3">
        <w:rPr>
          <w:rFonts w:ascii="微软雅黑" w:eastAsia="微软雅黑" w:hAnsi="微软雅黑" w:cs="宋体" w:hint="eastAsia"/>
          <w:color w:val="333333"/>
          <w:spacing w:val="8"/>
          <w:kern w:val="0"/>
          <w:sz w:val="33"/>
          <w:szCs w:val="33"/>
        </w:rPr>
        <w:t>在</w:t>
      </w:r>
      <w:r w:rsidR="00F101D3" w:rsidRPr="00F101D3">
        <w:rPr>
          <w:rFonts w:ascii="微软雅黑" w:eastAsia="微软雅黑" w:hAnsi="微软雅黑" w:cs="宋体" w:hint="eastAsia"/>
          <w:color w:val="333333"/>
          <w:spacing w:val="8"/>
          <w:kern w:val="0"/>
          <w:sz w:val="33"/>
          <w:szCs w:val="33"/>
        </w:rPr>
        <w:t>衢州这些药店可刷卡结算</w:t>
      </w:r>
    </w:p>
    <w:p w:rsidR="00EE7542" w:rsidRPr="00EE7542" w:rsidRDefault="00E21A1A" w:rsidP="00E21A1A">
      <w:pPr>
        <w:widowControl/>
        <w:shd w:val="clear" w:color="auto" w:fill="FFFFFF"/>
        <w:spacing w:after="210"/>
        <w:ind w:firstLineChars="150" w:firstLine="414"/>
        <w:outlineLvl w:val="1"/>
        <w:rPr>
          <w:rFonts w:ascii="微软雅黑" w:eastAsia="微软雅黑" w:hAnsi="微软雅黑" w:cs="宋体"/>
          <w:spacing w:val="8"/>
          <w:kern w:val="0"/>
          <w:sz w:val="26"/>
          <w:szCs w:val="26"/>
          <w:shd w:val="clear" w:color="auto" w:fill="FFFFFF"/>
        </w:rPr>
      </w:pPr>
      <w:r>
        <w:rPr>
          <w:rFonts w:ascii="微软雅黑" w:eastAsia="微软雅黑" w:hAnsi="微软雅黑" w:cs="宋体" w:hint="eastAsia"/>
          <w:spacing w:val="8"/>
          <w:kern w:val="0"/>
          <w:sz w:val="26"/>
          <w:szCs w:val="26"/>
          <w:shd w:val="clear" w:color="auto" w:fill="FFFFFF"/>
        </w:rPr>
        <w:t>衢州的小伙伴们，近日，市社保局传来利好消息，</w:t>
      </w:r>
      <w:r w:rsidR="00AA271F" w:rsidRPr="00AA271F">
        <w:rPr>
          <w:rFonts w:ascii="微软雅黑" w:eastAsia="微软雅黑" w:hAnsi="微软雅黑" w:cs="宋体" w:hint="eastAsia"/>
          <w:spacing w:val="8"/>
          <w:kern w:val="0"/>
          <w:sz w:val="26"/>
          <w:szCs w:val="26"/>
          <w:shd w:val="clear" w:color="auto" w:fill="FFFFFF"/>
        </w:rPr>
        <w:t>购买28种大病保险特殊用药</w:t>
      </w:r>
      <w:r>
        <w:rPr>
          <w:rFonts w:ascii="微软雅黑" w:eastAsia="微软雅黑" w:hAnsi="微软雅黑" w:cs="宋体" w:hint="eastAsia"/>
          <w:spacing w:val="8"/>
          <w:kern w:val="0"/>
          <w:sz w:val="26"/>
          <w:szCs w:val="26"/>
          <w:shd w:val="clear" w:color="auto" w:fill="FFFFFF"/>
        </w:rPr>
        <w:t>无需</w:t>
      </w:r>
      <w:r w:rsidR="00EE7542">
        <w:rPr>
          <w:rFonts w:ascii="微软雅黑" w:eastAsia="微软雅黑" w:hAnsi="微软雅黑" w:cs="宋体" w:hint="eastAsia"/>
          <w:spacing w:val="8"/>
          <w:kern w:val="0"/>
          <w:sz w:val="26"/>
          <w:szCs w:val="26"/>
          <w:shd w:val="clear" w:color="auto" w:fill="FFFFFF"/>
        </w:rPr>
        <w:t>先垫付</w:t>
      </w:r>
      <w:r>
        <w:rPr>
          <w:rFonts w:ascii="微软雅黑" w:eastAsia="微软雅黑" w:hAnsi="微软雅黑" w:cs="宋体" w:hint="eastAsia"/>
          <w:spacing w:val="8"/>
          <w:kern w:val="0"/>
          <w:sz w:val="26"/>
          <w:szCs w:val="26"/>
          <w:shd w:val="clear" w:color="auto" w:fill="FFFFFF"/>
        </w:rPr>
        <w:t>，</w:t>
      </w:r>
      <w:r w:rsidR="00EE7542">
        <w:rPr>
          <w:rFonts w:ascii="微软雅黑" w:eastAsia="微软雅黑" w:hAnsi="微软雅黑" w:cs="宋体" w:hint="eastAsia"/>
          <w:spacing w:val="8"/>
          <w:kern w:val="0"/>
          <w:sz w:val="26"/>
          <w:szCs w:val="26"/>
          <w:shd w:val="clear" w:color="auto" w:fill="FFFFFF"/>
        </w:rPr>
        <w:t>结算</w:t>
      </w:r>
      <w:r>
        <w:rPr>
          <w:rFonts w:ascii="微软雅黑" w:eastAsia="微软雅黑" w:hAnsi="微软雅黑" w:cs="宋体" w:hint="eastAsia"/>
          <w:spacing w:val="8"/>
          <w:kern w:val="0"/>
          <w:sz w:val="26"/>
          <w:szCs w:val="26"/>
          <w:shd w:val="clear" w:color="auto" w:fill="FFFFFF"/>
        </w:rPr>
        <w:t>不用</w:t>
      </w:r>
      <w:r w:rsidR="00EE7542">
        <w:rPr>
          <w:rFonts w:ascii="微软雅黑" w:eastAsia="微软雅黑" w:hAnsi="微软雅黑" w:cs="宋体" w:hint="eastAsia"/>
          <w:spacing w:val="8"/>
          <w:kern w:val="0"/>
          <w:sz w:val="26"/>
          <w:szCs w:val="26"/>
          <w:shd w:val="clear" w:color="auto" w:fill="FFFFFF"/>
        </w:rPr>
        <w:t>再跑社保局</w:t>
      </w:r>
      <w:r>
        <w:rPr>
          <w:rFonts w:ascii="微软雅黑" w:eastAsia="微软雅黑" w:hAnsi="微软雅黑" w:cs="宋体" w:hint="eastAsia"/>
          <w:spacing w:val="8"/>
          <w:kern w:val="0"/>
          <w:sz w:val="26"/>
          <w:szCs w:val="26"/>
          <w:shd w:val="clear" w:color="auto" w:fill="FFFFFF"/>
        </w:rPr>
        <w:t>。“最多跑一次”又升级，</w:t>
      </w:r>
      <w:r w:rsidR="00EE7542" w:rsidRPr="00AA271F">
        <w:rPr>
          <w:rFonts w:ascii="微软雅黑" w:eastAsia="微软雅黑" w:hAnsi="微软雅黑" w:cs="宋体" w:hint="eastAsia"/>
          <w:spacing w:val="8"/>
          <w:kern w:val="0"/>
          <w:sz w:val="26"/>
          <w:szCs w:val="26"/>
          <w:shd w:val="clear" w:color="auto" w:fill="FFFFFF"/>
        </w:rPr>
        <w:t>28种大病保险特殊用药</w:t>
      </w:r>
      <w:r w:rsidR="00EE7542">
        <w:rPr>
          <w:rFonts w:ascii="微软雅黑" w:eastAsia="微软雅黑" w:hAnsi="微软雅黑" w:cs="宋体" w:hint="eastAsia"/>
          <w:spacing w:val="8"/>
          <w:kern w:val="0"/>
          <w:sz w:val="26"/>
          <w:szCs w:val="26"/>
          <w:shd w:val="clear" w:color="auto" w:fill="FFFFFF"/>
        </w:rPr>
        <w:t>可直接刷卡结算啦！</w:t>
      </w:r>
    </w:p>
    <w:p w:rsidR="003A777D" w:rsidRPr="00B00D42" w:rsidRDefault="003A777D" w:rsidP="003A777D">
      <w:pPr>
        <w:pStyle w:val="a3"/>
        <w:shd w:val="clear" w:color="auto" w:fill="FFFFFF"/>
        <w:spacing w:before="0" w:beforeAutospacing="0" w:after="0" w:afterAutospacing="0" w:line="384" w:lineRule="atLeast"/>
        <w:ind w:firstLine="480"/>
        <w:jc w:val="both"/>
        <w:rPr>
          <w:rFonts w:ascii="微软雅黑" w:eastAsia="微软雅黑" w:hAnsi="微软雅黑"/>
          <w:spacing w:val="8"/>
          <w:sz w:val="26"/>
          <w:szCs w:val="26"/>
        </w:rPr>
      </w:pPr>
      <w:r w:rsidRPr="00B00D42">
        <w:rPr>
          <w:rFonts w:ascii="微软雅黑" w:eastAsia="微软雅黑" w:hAnsi="微软雅黑" w:hint="eastAsia"/>
          <w:spacing w:val="8"/>
          <w:sz w:val="26"/>
          <w:szCs w:val="26"/>
          <w:shd w:val="clear" w:color="auto" w:fill="FFFFFF"/>
        </w:rPr>
        <w:t>为方便我市医疗保险参保人员享受医疗保险大病保险特殊用药服务，减轻患者的垫付压力，更好地为参保患者服务，根据相关文件，市社保局和市区多家药店签署了“特药联网协议”。只要患者到特定的药房买药，刷社保卡，就能直接享受社保报销，无需自行垫付，也无需后续去社保报销。</w:t>
      </w:r>
      <w:r w:rsidRPr="00B00D42">
        <w:rPr>
          <w:rFonts w:ascii="微软雅黑" w:eastAsia="微软雅黑" w:hAnsi="微软雅黑" w:hint="eastAsia"/>
          <w:spacing w:val="8"/>
          <w:sz w:val="26"/>
          <w:szCs w:val="26"/>
        </w:rPr>
        <w:t>常规用药在药店只能用个帐支付，大病保险特殊用药购买不仅可以由个帐支付，还可以由大病保险基金支付。</w:t>
      </w:r>
    </w:p>
    <w:p w:rsidR="00162945" w:rsidRDefault="00F101D3" w:rsidP="00F101D3">
      <w:pPr>
        <w:ind w:firstLineChars="150" w:firstLine="414"/>
        <w:rPr>
          <w:rFonts w:ascii="微软雅黑" w:eastAsia="微软雅黑" w:hAnsi="微软雅黑"/>
          <w:spacing w:val="8"/>
          <w:sz w:val="26"/>
          <w:szCs w:val="26"/>
          <w:shd w:val="clear" w:color="auto" w:fill="FFFFFF"/>
        </w:rPr>
      </w:pPr>
      <w:r w:rsidRPr="00B00D42">
        <w:rPr>
          <w:rFonts w:ascii="微软雅黑" w:eastAsia="微软雅黑" w:hAnsi="微软雅黑" w:hint="eastAsia"/>
          <w:b/>
          <w:spacing w:val="8"/>
          <w:sz w:val="26"/>
          <w:szCs w:val="26"/>
          <w:shd w:val="clear" w:color="auto" w:fill="FFFFFF"/>
        </w:rPr>
        <w:t>如何购买</w:t>
      </w:r>
      <w:r w:rsidRPr="00B00D42">
        <w:rPr>
          <w:rFonts w:ascii="微软雅黑" w:eastAsia="微软雅黑" w:hAnsi="微软雅黑" w:hint="eastAsia"/>
          <w:spacing w:val="8"/>
          <w:sz w:val="26"/>
          <w:szCs w:val="26"/>
          <w:shd w:val="clear" w:color="auto" w:fill="FFFFFF"/>
        </w:rPr>
        <w:t>：</w:t>
      </w:r>
      <w:r w:rsidR="003A777D" w:rsidRPr="00B00D42">
        <w:rPr>
          <w:rFonts w:ascii="微软雅黑" w:eastAsia="微软雅黑" w:hAnsi="微软雅黑" w:hint="eastAsia"/>
          <w:spacing w:val="8"/>
          <w:sz w:val="26"/>
          <w:szCs w:val="26"/>
          <w:shd w:val="clear" w:color="auto" w:fill="FFFFFF"/>
        </w:rPr>
        <w:t>参保患者用药须凭特药责任医师开具加盖医院审核章的处方、病历（诊断证明或相关的检查化验单等用药依据）至特药联网医院刷卡购买大病保险特殊用药。参保患者按规定缴纳自付费用并在结算票据清单上签字确认后，即可配药。</w:t>
      </w:r>
    </w:p>
    <w:p w:rsidR="00E21A1A" w:rsidRPr="00B00D42" w:rsidRDefault="00E21A1A" w:rsidP="00E21A1A">
      <w:pPr>
        <w:pStyle w:val="a3"/>
        <w:shd w:val="clear" w:color="auto" w:fill="FFFFFF"/>
        <w:spacing w:before="0" w:beforeAutospacing="0" w:after="0" w:afterAutospacing="0" w:line="384" w:lineRule="atLeast"/>
        <w:ind w:firstLine="480"/>
        <w:jc w:val="both"/>
        <w:rPr>
          <w:rFonts w:ascii="微软雅黑" w:eastAsia="微软雅黑" w:hAnsi="微软雅黑"/>
          <w:spacing w:val="8"/>
          <w:sz w:val="26"/>
          <w:szCs w:val="26"/>
        </w:rPr>
      </w:pPr>
      <w:r w:rsidRPr="00B00D42">
        <w:rPr>
          <w:rFonts w:ascii="微软雅黑" w:eastAsia="微软雅黑" w:hAnsi="微软雅黑" w:hint="eastAsia"/>
          <w:b/>
          <w:spacing w:val="8"/>
          <w:sz w:val="26"/>
          <w:szCs w:val="26"/>
          <w:shd w:val="clear" w:color="auto" w:fill="FFFFFF"/>
        </w:rPr>
        <w:lastRenderedPageBreak/>
        <w:t>大病医保政策</w:t>
      </w:r>
      <w:r w:rsidRPr="00B00D42">
        <w:rPr>
          <w:rFonts w:ascii="微软雅黑" w:eastAsia="微软雅黑" w:hAnsi="微软雅黑" w:hint="eastAsia"/>
          <w:spacing w:val="8"/>
          <w:sz w:val="26"/>
          <w:szCs w:val="26"/>
          <w:shd w:val="clear" w:color="auto" w:fill="FFFFFF"/>
        </w:rPr>
        <w:t>：</w:t>
      </w:r>
      <w:r w:rsidRPr="00B00D42">
        <w:rPr>
          <w:rFonts w:ascii="微软雅黑" w:eastAsia="微软雅黑" w:hAnsi="微软雅黑" w:hint="eastAsia"/>
          <w:spacing w:val="8"/>
          <w:sz w:val="26"/>
          <w:szCs w:val="26"/>
        </w:rPr>
        <w:t>符合基本医疗保险支付范围的自付费用、浙江省大病保险特殊用药的费用和住院参保人员的专家远程医疗会诊补助纳入大病保险基金支付范围。</w:t>
      </w:r>
    </w:p>
    <w:p w:rsidR="00F101D3" w:rsidRDefault="00E21A1A" w:rsidP="00E21A1A">
      <w:pPr>
        <w:pStyle w:val="a3"/>
        <w:shd w:val="clear" w:color="auto" w:fill="FFFFFF"/>
        <w:spacing w:before="0" w:beforeAutospacing="0" w:after="0" w:afterAutospacing="0" w:line="384" w:lineRule="atLeast"/>
        <w:ind w:firstLine="480"/>
        <w:jc w:val="both"/>
        <w:rPr>
          <w:rFonts w:ascii="微软雅黑" w:eastAsia="微软雅黑" w:hAnsi="微软雅黑"/>
          <w:spacing w:val="8"/>
          <w:sz w:val="26"/>
          <w:szCs w:val="26"/>
        </w:rPr>
      </w:pPr>
      <w:r w:rsidRPr="00B00D42">
        <w:rPr>
          <w:rFonts w:ascii="微软雅黑" w:eastAsia="微软雅黑" w:hAnsi="微软雅黑" w:hint="eastAsia"/>
          <w:spacing w:val="8"/>
          <w:sz w:val="26"/>
          <w:szCs w:val="26"/>
        </w:rPr>
        <w:t>城镇职工大病保险起付标准为2万元。起付标准以上部分统一按照90%补助，最高支付额为35万元。城乡居民大病保险起付标准为2万元。起付标准以上部分统一按照60%补助，最高支付额为15万元。</w:t>
      </w:r>
    </w:p>
    <w:p w:rsidR="009F45F1" w:rsidRDefault="009F45F1" w:rsidP="00E21A1A">
      <w:pPr>
        <w:pStyle w:val="a3"/>
        <w:shd w:val="clear" w:color="auto" w:fill="FFFFFF"/>
        <w:spacing w:before="0" w:beforeAutospacing="0" w:after="0" w:afterAutospacing="0" w:line="384" w:lineRule="atLeast"/>
        <w:ind w:firstLine="480"/>
        <w:jc w:val="both"/>
        <w:rPr>
          <w:rFonts w:ascii="微软雅黑" w:eastAsia="微软雅黑" w:hAnsi="微软雅黑"/>
          <w:b/>
          <w:spacing w:val="8"/>
          <w:sz w:val="26"/>
          <w:szCs w:val="26"/>
          <w:shd w:val="clear" w:color="auto" w:fill="FFFFFF"/>
        </w:rPr>
      </w:pPr>
      <w:r w:rsidRPr="009F45F1">
        <w:rPr>
          <w:rFonts w:ascii="微软雅黑" w:eastAsia="微软雅黑" w:hAnsi="微软雅黑" w:hint="eastAsia"/>
          <w:b/>
          <w:spacing w:val="8"/>
          <w:sz w:val="26"/>
          <w:szCs w:val="26"/>
          <w:shd w:val="clear" w:color="auto" w:fill="FFFFFF"/>
        </w:rPr>
        <w:t>购买药店</w:t>
      </w:r>
    </w:p>
    <w:p w:rsidR="009F45F1" w:rsidRDefault="009F45F1" w:rsidP="00E21A1A">
      <w:pPr>
        <w:pStyle w:val="a3"/>
        <w:shd w:val="clear" w:color="auto" w:fill="FFFFFF"/>
        <w:spacing w:before="0" w:beforeAutospacing="0" w:after="0" w:afterAutospacing="0" w:line="384" w:lineRule="atLeast"/>
        <w:ind w:firstLine="480"/>
        <w:jc w:val="both"/>
        <w:rPr>
          <w:rFonts w:ascii="微软雅黑" w:eastAsia="微软雅黑" w:hAnsi="微软雅黑"/>
          <w:b/>
          <w:spacing w:val="8"/>
          <w:sz w:val="26"/>
          <w:szCs w:val="26"/>
          <w:shd w:val="clear" w:color="auto" w:fill="FFFFFF"/>
        </w:rPr>
      </w:pPr>
    </w:p>
    <w:p w:rsidR="009F45F1" w:rsidRDefault="009F45F1" w:rsidP="00E21A1A">
      <w:pPr>
        <w:pStyle w:val="a3"/>
        <w:shd w:val="clear" w:color="auto" w:fill="FFFFFF"/>
        <w:spacing w:before="0" w:beforeAutospacing="0" w:after="0" w:afterAutospacing="0" w:line="384" w:lineRule="atLeast"/>
        <w:ind w:firstLine="480"/>
        <w:jc w:val="both"/>
        <w:rPr>
          <w:rFonts w:ascii="微软雅黑" w:eastAsia="微软雅黑" w:hAnsi="微软雅黑"/>
          <w:b/>
          <w:spacing w:val="8"/>
          <w:sz w:val="26"/>
          <w:szCs w:val="26"/>
          <w:shd w:val="clear" w:color="auto" w:fill="FFFFFF"/>
        </w:rPr>
      </w:pPr>
    </w:p>
    <w:tbl>
      <w:tblPr>
        <w:tblStyle w:val="a5"/>
        <w:tblpPr w:leftFromText="180" w:rightFromText="180" w:vertAnchor="page" w:horzAnchor="margin" w:tblpY="1846"/>
        <w:tblW w:w="0" w:type="auto"/>
        <w:tblLayout w:type="fixed"/>
        <w:tblLook w:val="04A0"/>
      </w:tblPr>
      <w:tblGrid>
        <w:gridCol w:w="721"/>
        <w:gridCol w:w="1769"/>
        <w:gridCol w:w="1095"/>
        <w:gridCol w:w="1175"/>
        <w:gridCol w:w="999"/>
        <w:gridCol w:w="1791"/>
        <w:gridCol w:w="1078"/>
        <w:gridCol w:w="1545"/>
        <w:gridCol w:w="1417"/>
        <w:gridCol w:w="1491"/>
        <w:gridCol w:w="1093"/>
      </w:tblGrid>
      <w:tr w:rsidR="009F45F1" w:rsidTr="003937B3">
        <w:tc>
          <w:tcPr>
            <w:tcW w:w="14174" w:type="dxa"/>
            <w:gridSpan w:val="11"/>
          </w:tcPr>
          <w:p w:rsidR="009F45F1" w:rsidRDefault="009F45F1" w:rsidP="003937B3">
            <w:pPr>
              <w:pStyle w:val="a3"/>
              <w:spacing w:before="0" w:beforeAutospacing="0" w:after="0" w:afterAutospacing="0" w:line="384" w:lineRule="atLeast"/>
              <w:jc w:val="both"/>
              <w:rPr>
                <w:rFonts w:ascii="微软雅黑" w:eastAsia="微软雅黑" w:hAnsi="微软雅黑"/>
                <w:color w:val="FF0000"/>
                <w:spacing w:val="8"/>
                <w:sz w:val="26"/>
                <w:szCs w:val="26"/>
              </w:rPr>
            </w:pPr>
            <w:r>
              <w:rPr>
                <w:rFonts w:ascii="微软雅黑" w:eastAsia="微软雅黑" w:hAnsi="微软雅黑" w:hint="eastAsia"/>
                <w:color w:val="FF0000"/>
                <w:spacing w:val="8"/>
                <w:sz w:val="26"/>
                <w:szCs w:val="26"/>
              </w:rPr>
              <w:lastRenderedPageBreak/>
              <w:t xml:space="preserve">                         </w:t>
            </w:r>
            <w:r w:rsidRPr="006211D1">
              <w:rPr>
                <w:rFonts w:hint="eastAsia"/>
                <w:color w:val="000000"/>
                <w:sz w:val="40"/>
                <w:szCs w:val="40"/>
              </w:rPr>
              <w:t xml:space="preserve"> 28种浙江省大病保险特殊用药详细信息</w:t>
            </w:r>
          </w:p>
        </w:tc>
      </w:tr>
      <w:tr w:rsidR="009F45F1" w:rsidRPr="00E24DBF" w:rsidTr="003937B3">
        <w:tc>
          <w:tcPr>
            <w:tcW w:w="721" w:type="dxa"/>
            <w:vAlign w:val="center"/>
          </w:tcPr>
          <w:p w:rsidR="009F45F1" w:rsidRPr="006211D1" w:rsidRDefault="009F45F1" w:rsidP="003937B3">
            <w:pPr>
              <w:widowControl/>
              <w:jc w:val="center"/>
              <w:rPr>
                <w:rFonts w:ascii="宋体" w:eastAsia="宋体" w:hAnsi="宋体" w:cs="宋体"/>
                <w:color w:val="000000"/>
                <w:kern w:val="0"/>
                <w:szCs w:val="21"/>
              </w:rPr>
            </w:pPr>
            <w:r w:rsidRPr="006211D1">
              <w:rPr>
                <w:rFonts w:ascii="宋体" w:eastAsia="宋体" w:hAnsi="宋体" w:cs="宋体" w:hint="eastAsia"/>
                <w:color w:val="000000"/>
                <w:kern w:val="0"/>
                <w:szCs w:val="21"/>
              </w:rPr>
              <w:t>序号</w:t>
            </w:r>
          </w:p>
        </w:tc>
        <w:tc>
          <w:tcPr>
            <w:tcW w:w="1769" w:type="dxa"/>
            <w:vAlign w:val="center"/>
          </w:tcPr>
          <w:p w:rsidR="009F45F1" w:rsidRPr="006211D1" w:rsidRDefault="009F45F1" w:rsidP="003937B3">
            <w:pPr>
              <w:widowControl/>
              <w:jc w:val="center"/>
              <w:rPr>
                <w:rFonts w:ascii="宋体" w:eastAsia="宋体" w:hAnsi="宋体" w:cs="宋体"/>
                <w:color w:val="000000"/>
                <w:kern w:val="0"/>
                <w:szCs w:val="21"/>
              </w:rPr>
            </w:pPr>
            <w:r w:rsidRPr="006211D1">
              <w:rPr>
                <w:rFonts w:ascii="宋体" w:eastAsia="宋体" w:hAnsi="宋体" w:cs="宋体" w:hint="eastAsia"/>
                <w:color w:val="000000"/>
                <w:kern w:val="0"/>
                <w:szCs w:val="21"/>
              </w:rPr>
              <w:t>编码</w:t>
            </w:r>
          </w:p>
        </w:tc>
        <w:tc>
          <w:tcPr>
            <w:tcW w:w="1095" w:type="dxa"/>
            <w:vAlign w:val="center"/>
          </w:tcPr>
          <w:p w:rsidR="009F45F1" w:rsidRPr="006211D1" w:rsidRDefault="009F45F1" w:rsidP="003937B3">
            <w:pPr>
              <w:widowControl/>
              <w:jc w:val="center"/>
              <w:rPr>
                <w:rFonts w:ascii="宋体" w:eastAsia="宋体" w:hAnsi="宋体" w:cs="宋体"/>
                <w:color w:val="000000"/>
                <w:kern w:val="0"/>
                <w:szCs w:val="21"/>
              </w:rPr>
            </w:pPr>
            <w:r w:rsidRPr="006211D1">
              <w:rPr>
                <w:rFonts w:ascii="宋体" w:eastAsia="宋体" w:hAnsi="宋体" w:cs="宋体" w:hint="eastAsia"/>
                <w:color w:val="000000"/>
                <w:kern w:val="0"/>
                <w:szCs w:val="21"/>
              </w:rPr>
              <w:t>通用名</w:t>
            </w:r>
          </w:p>
        </w:tc>
        <w:tc>
          <w:tcPr>
            <w:tcW w:w="1175" w:type="dxa"/>
            <w:vAlign w:val="center"/>
          </w:tcPr>
          <w:p w:rsidR="009F45F1" w:rsidRPr="006211D1" w:rsidRDefault="009F45F1" w:rsidP="003937B3">
            <w:pPr>
              <w:widowControl/>
              <w:jc w:val="center"/>
              <w:rPr>
                <w:rFonts w:ascii="宋体" w:eastAsia="宋体" w:hAnsi="宋体" w:cs="宋体"/>
                <w:color w:val="000000"/>
                <w:kern w:val="0"/>
                <w:szCs w:val="21"/>
              </w:rPr>
            </w:pPr>
            <w:r w:rsidRPr="006211D1">
              <w:rPr>
                <w:rFonts w:ascii="宋体" w:eastAsia="宋体" w:hAnsi="宋体" w:cs="宋体" w:hint="eastAsia"/>
                <w:color w:val="000000"/>
                <w:kern w:val="0"/>
                <w:szCs w:val="21"/>
              </w:rPr>
              <w:t>商品名</w:t>
            </w:r>
          </w:p>
        </w:tc>
        <w:tc>
          <w:tcPr>
            <w:tcW w:w="999" w:type="dxa"/>
            <w:vAlign w:val="center"/>
          </w:tcPr>
          <w:p w:rsidR="009F45F1" w:rsidRPr="006211D1" w:rsidRDefault="009F45F1" w:rsidP="003937B3">
            <w:pPr>
              <w:widowControl/>
              <w:jc w:val="center"/>
              <w:rPr>
                <w:rFonts w:ascii="宋体" w:eastAsia="宋体" w:hAnsi="宋体" w:cs="宋体"/>
                <w:color w:val="000000"/>
                <w:kern w:val="0"/>
                <w:szCs w:val="21"/>
              </w:rPr>
            </w:pPr>
            <w:r w:rsidRPr="006211D1">
              <w:rPr>
                <w:rFonts w:ascii="宋体" w:eastAsia="宋体" w:hAnsi="宋体" w:cs="宋体" w:hint="eastAsia"/>
                <w:color w:val="000000"/>
                <w:kern w:val="0"/>
                <w:szCs w:val="21"/>
              </w:rPr>
              <w:t>剂型</w:t>
            </w:r>
          </w:p>
        </w:tc>
        <w:tc>
          <w:tcPr>
            <w:tcW w:w="1791" w:type="dxa"/>
            <w:vAlign w:val="center"/>
          </w:tcPr>
          <w:p w:rsidR="009F45F1" w:rsidRPr="006211D1" w:rsidRDefault="009F45F1" w:rsidP="003937B3">
            <w:pPr>
              <w:widowControl/>
              <w:jc w:val="center"/>
              <w:rPr>
                <w:rFonts w:ascii="宋体" w:eastAsia="宋体" w:hAnsi="宋体" w:cs="宋体"/>
                <w:color w:val="000000"/>
                <w:kern w:val="0"/>
                <w:szCs w:val="21"/>
              </w:rPr>
            </w:pPr>
            <w:r w:rsidRPr="006211D1">
              <w:rPr>
                <w:rFonts w:ascii="宋体" w:eastAsia="宋体" w:hAnsi="宋体" w:cs="宋体" w:hint="eastAsia"/>
                <w:color w:val="000000"/>
                <w:kern w:val="0"/>
                <w:szCs w:val="21"/>
              </w:rPr>
              <w:t>生产企业</w:t>
            </w:r>
          </w:p>
        </w:tc>
        <w:tc>
          <w:tcPr>
            <w:tcW w:w="1078" w:type="dxa"/>
            <w:vAlign w:val="center"/>
          </w:tcPr>
          <w:p w:rsidR="009F45F1" w:rsidRPr="006211D1" w:rsidRDefault="009F45F1" w:rsidP="003937B3">
            <w:pPr>
              <w:widowControl/>
              <w:jc w:val="center"/>
              <w:rPr>
                <w:rFonts w:ascii="宋体" w:eastAsia="宋体" w:hAnsi="宋体" w:cs="宋体"/>
                <w:color w:val="000000"/>
                <w:kern w:val="0"/>
                <w:szCs w:val="21"/>
              </w:rPr>
            </w:pPr>
            <w:r w:rsidRPr="006211D1">
              <w:rPr>
                <w:rFonts w:ascii="宋体" w:eastAsia="宋体" w:hAnsi="宋体" w:cs="宋体" w:hint="eastAsia"/>
                <w:color w:val="000000"/>
                <w:kern w:val="0"/>
                <w:szCs w:val="21"/>
              </w:rPr>
              <w:t>谈判乙方</w:t>
            </w:r>
          </w:p>
        </w:tc>
        <w:tc>
          <w:tcPr>
            <w:tcW w:w="1545" w:type="dxa"/>
            <w:vAlign w:val="center"/>
          </w:tcPr>
          <w:p w:rsidR="009F45F1" w:rsidRPr="006211D1" w:rsidRDefault="009F45F1" w:rsidP="003937B3">
            <w:pPr>
              <w:widowControl/>
              <w:jc w:val="center"/>
              <w:rPr>
                <w:rFonts w:ascii="宋体" w:eastAsia="宋体" w:hAnsi="宋体" w:cs="宋体"/>
                <w:color w:val="000000"/>
                <w:kern w:val="0"/>
                <w:szCs w:val="21"/>
              </w:rPr>
            </w:pPr>
            <w:r w:rsidRPr="006211D1">
              <w:rPr>
                <w:rFonts w:ascii="宋体" w:eastAsia="宋体" w:hAnsi="宋体" w:cs="宋体" w:hint="eastAsia"/>
                <w:color w:val="000000"/>
                <w:kern w:val="0"/>
                <w:szCs w:val="21"/>
              </w:rPr>
              <w:t>规格</w:t>
            </w:r>
          </w:p>
        </w:tc>
        <w:tc>
          <w:tcPr>
            <w:tcW w:w="1417" w:type="dxa"/>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医保支付标准</w:t>
            </w:r>
          </w:p>
        </w:tc>
        <w:tc>
          <w:tcPr>
            <w:tcW w:w="1491" w:type="dxa"/>
            <w:vAlign w:val="center"/>
          </w:tcPr>
          <w:p w:rsidR="009F45F1" w:rsidRPr="006211D1" w:rsidRDefault="009F45F1" w:rsidP="003937B3">
            <w:pPr>
              <w:widowControl/>
              <w:jc w:val="center"/>
              <w:rPr>
                <w:rFonts w:ascii="宋体" w:eastAsia="宋体" w:hAnsi="宋体" w:cs="宋体"/>
                <w:color w:val="000000"/>
                <w:kern w:val="0"/>
                <w:szCs w:val="21"/>
              </w:rPr>
            </w:pPr>
            <w:r w:rsidRPr="006211D1">
              <w:rPr>
                <w:rFonts w:ascii="宋体" w:eastAsia="宋体" w:hAnsi="宋体" w:cs="宋体" w:hint="eastAsia"/>
                <w:color w:val="000000"/>
                <w:kern w:val="0"/>
                <w:szCs w:val="21"/>
              </w:rPr>
              <w:t>现赠药情况</w:t>
            </w:r>
          </w:p>
        </w:tc>
        <w:tc>
          <w:tcPr>
            <w:tcW w:w="1093" w:type="dxa"/>
            <w:vAlign w:val="center"/>
          </w:tcPr>
          <w:p w:rsidR="009F45F1" w:rsidRPr="006211D1" w:rsidRDefault="009F45F1" w:rsidP="003937B3">
            <w:pPr>
              <w:widowControl/>
              <w:jc w:val="center"/>
              <w:rPr>
                <w:rFonts w:ascii="方正小标宋简体" w:eastAsia="方正小标宋简体" w:hAnsi="宋体" w:cs="宋体"/>
                <w:b/>
                <w:bCs/>
                <w:kern w:val="0"/>
                <w:szCs w:val="21"/>
              </w:rPr>
            </w:pPr>
            <w:r w:rsidRPr="006211D1">
              <w:rPr>
                <w:rFonts w:ascii="方正小标宋简体" w:eastAsia="方正小标宋简体" w:hAnsi="宋体" w:cs="宋体" w:hint="eastAsia"/>
                <w:b/>
                <w:bCs/>
                <w:kern w:val="0"/>
                <w:szCs w:val="21"/>
              </w:rPr>
              <w:t>供药点</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Db0020181019</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阿达木单抗</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修美乐</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注射剂/预填充式注射笔</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AbbVie Ltd</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艾伯维医药贸易（上海）有限公司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40mg/0.8ml</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6407元/支/盒</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连续（累计）购买使用4支，免费供药6支，简称“4+6”，此后以“4+6”模式循环。</w:t>
            </w:r>
          </w:p>
        </w:tc>
        <w:tc>
          <w:tcPr>
            <w:tcW w:w="1093" w:type="dxa"/>
            <w:vAlign w:val="center"/>
          </w:tcPr>
          <w:p w:rsidR="009F45F1" w:rsidRPr="006211D1" w:rsidRDefault="009F45F1" w:rsidP="003937B3">
            <w:pPr>
              <w:widowControl/>
              <w:jc w:val="left"/>
              <w:rPr>
                <w:rFonts w:ascii="宋体" w:eastAsia="宋体" w:hAnsi="宋体" w:cs="宋体"/>
                <w:kern w:val="0"/>
                <w:szCs w:val="21"/>
              </w:rPr>
            </w:pPr>
            <w:r w:rsidRPr="006211D1">
              <w:rPr>
                <w:rFonts w:ascii="宋体" w:eastAsia="宋体" w:hAnsi="宋体" w:cs="宋体" w:hint="eastAsia"/>
                <w:kern w:val="0"/>
                <w:szCs w:val="21"/>
              </w:rPr>
              <w:t>老百姓大药房连锁（浙江）</w:t>
            </w:r>
            <w:r w:rsidRPr="006211D1">
              <w:rPr>
                <w:rFonts w:ascii="宋体" w:eastAsia="宋体" w:hAnsi="宋体" w:cs="宋体" w:hint="eastAsia"/>
                <w:kern w:val="0"/>
                <w:szCs w:val="21"/>
              </w:rPr>
              <w:br/>
              <w:t>有限公司衢州店</w:t>
            </w:r>
          </w:p>
        </w:tc>
      </w:tr>
      <w:tr w:rsidR="009F45F1" w:rsidRPr="00E24DBF" w:rsidTr="003937B3">
        <w:trPr>
          <w:trHeight w:val="1560"/>
        </w:trPr>
        <w:tc>
          <w:tcPr>
            <w:tcW w:w="721" w:type="dxa"/>
            <w:vMerge w:val="restart"/>
            <w:vAlign w:val="center"/>
          </w:tcPr>
          <w:p w:rsidR="009F45F1" w:rsidRPr="006211D1" w:rsidRDefault="009F45F1" w:rsidP="003937B3">
            <w:pPr>
              <w:widowControl/>
              <w:rPr>
                <w:rFonts w:ascii="仿宋" w:eastAsia="仿宋" w:hAnsi="仿宋" w:cs="宋体"/>
                <w:color w:val="000000"/>
                <w:kern w:val="0"/>
                <w:szCs w:val="21"/>
              </w:rPr>
            </w:pPr>
            <w:r w:rsidRPr="006211D1">
              <w:rPr>
                <w:rFonts w:ascii="仿宋" w:eastAsia="仿宋" w:hAnsi="仿宋" w:cs="宋体" w:hint="eastAsia"/>
                <w:color w:val="000000"/>
                <w:kern w:val="0"/>
                <w:szCs w:val="21"/>
              </w:rPr>
              <w:t>2</w:t>
            </w:r>
          </w:p>
        </w:tc>
        <w:tc>
          <w:tcPr>
            <w:tcW w:w="1769"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Db0020181020</w:t>
            </w:r>
          </w:p>
        </w:tc>
        <w:tc>
          <w:tcPr>
            <w:tcW w:w="1095" w:type="dxa"/>
            <w:vMerge w:val="restart"/>
            <w:vAlign w:val="center"/>
          </w:tcPr>
          <w:p w:rsidR="009F45F1" w:rsidRPr="006211D1" w:rsidRDefault="009F45F1" w:rsidP="003937B3">
            <w:pPr>
              <w:widowControl/>
              <w:rPr>
                <w:rFonts w:ascii="仿宋" w:eastAsia="仿宋" w:hAnsi="仿宋" w:cs="宋体"/>
                <w:color w:val="000000"/>
                <w:kern w:val="0"/>
                <w:szCs w:val="21"/>
              </w:rPr>
            </w:pPr>
            <w:r w:rsidRPr="006211D1">
              <w:rPr>
                <w:rFonts w:ascii="仿宋" w:eastAsia="仿宋" w:hAnsi="仿宋" w:cs="宋体" w:hint="eastAsia"/>
                <w:color w:val="000000"/>
                <w:kern w:val="0"/>
                <w:szCs w:val="21"/>
              </w:rPr>
              <w:t>尼洛替尼</w:t>
            </w:r>
          </w:p>
        </w:tc>
        <w:tc>
          <w:tcPr>
            <w:tcW w:w="1175" w:type="dxa"/>
            <w:vMerge w:val="restart"/>
            <w:vAlign w:val="center"/>
          </w:tcPr>
          <w:p w:rsidR="009F45F1" w:rsidRPr="006211D1" w:rsidRDefault="009F45F1" w:rsidP="003937B3">
            <w:pPr>
              <w:widowControl/>
              <w:rPr>
                <w:rFonts w:ascii="仿宋" w:eastAsia="仿宋" w:hAnsi="仿宋" w:cs="宋体"/>
                <w:color w:val="000000"/>
                <w:kern w:val="0"/>
                <w:szCs w:val="21"/>
              </w:rPr>
            </w:pPr>
            <w:r w:rsidRPr="006211D1">
              <w:rPr>
                <w:rFonts w:ascii="仿宋" w:eastAsia="仿宋" w:hAnsi="仿宋" w:cs="宋体" w:hint="eastAsia"/>
                <w:color w:val="000000"/>
                <w:kern w:val="0"/>
                <w:szCs w:val="21"/>
              </w:rPr>
              <w:t>达希纳</w:t>
            </w:r>
          </w:p>
        </w:tc>
        <w:tc>
          <w:tcPr>
            <w:tcW w:w="999" w:type="dxa"/>
            <w:vMerge w:val="restart"/>
            <w:vAlign w:val="center"/>
          </w:tcPr>
          <w:p w:rsidR="009F45F1" w:rsidRPr="006211D1" w:rsidRDefault="009F45F1" w:rsidP="003937B3">
            <w:pPr>
              <w:widowControl/>
              <w:rPr>
                <w:rFonts w:ascii="仿宋" w:eastAsia="仿宋" w:hAnsi="仿宋" w:cs="宋体"/>
                <w:color w:val="000000"/>
                <w:kern w:val="0"/>
                <w:szCs w:val="21"/>
              </w:rPr>
            </w:pPr>
            <w:r w:rsidRPr="006211D1">
              <w:rPr>
                <w:rFonts w:ascii="仿宋" w:eastAsia="仿宋" w:hAnsi="仿宋" w:cs="宋体" w:hint="eastAsia"/>
                <w:color w:val="000000"/>
                <w:kern w:val="0"/>
                <w:szCs w:val="21"/>
              </w:rPr>
              <w:t>胶襄</w:t>
            </w:r>
          </w:p>
        </w:tc>
        <w:tc>
          <w:tcPr>
            <w:tcW w:w="1791"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Novartis Pharma Schweiz AG</w:t>
            </w:r>
          </w:p>
        </w:tc>
        <w:tc>
          <w:tcPr>
            <w:tcW w:w="1078"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山德士（中国）制药有限公司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200mg*120片</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32800元/盒</w:t>
            </w:r>
          </w:p>
        </w:tc>
        <w:tc>
          <w:tcPr>
            <w:tcW w:w="1491" w:type="dxa"/>
            <w:vMerge w:val="restart"/>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连续（累计）购买使用3个月，免费供药12个月，简称为“3+12”，此后以“3+12”模式循环。</w:t>
            </w:r>
          </w:p>
        </w:tc>
        <w:tc>
          <w:tcPr>
            <w:tcW w:w="1093" w:type="dxa"/>
            <w:vMerge w:val="restart"/>
            <w:vAlign w:val="bottom"/>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衢州天福堂医药有限公司新桥街店</w:t>
            </w:r>
          </w:p>
        </w:tc>
      </w:tr>
      <w:tr w:rsidR="009F45F1" w:rsidRPr="00E24DBF" w:rsidTr="003937B3">
        <w:trPr>
          <w:trHeight w:val="1560"/>
        </w:trPr>
        <w:tc>
          <w:tcPr>
            <w:tcW w:w="721"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769"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095"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175"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999"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791"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078"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150mg*120片</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26240元/盒</w:t>
            </w:r>
          </w:p>
        </w:tc>
        <w:tc>
          <w:tcPr>
            <w:tcW w:w="1491" w:type="dxa"/>
            <w:vMerge/>
            <w:vAlign w:val="center"/>
          </w:tcPr>
          <w:p w:rsidR="009F45F1" w:rsidRPr="00E24DBF" w:rsidRDefault="009F45F1" w:rsidP="003937B3">
            <w:pPr>
              <w:widowControl/>
              <w:jc w:val="left"/>
              <w:rPr>
                <w:rFonts w:ascii="仿宋" w:eastAsia="仿宋" w:hAnsi="仿宋" w:cs="宋体"/>
                <w:color w:val="000000"/>
                <w:kern w:val="0"/>
                <w:szCs w:val="21"/>
              </w:rPr>
            </w:pPr>
          </w:p>
        </w:tc>
        <w:tc>
          <w:tcPr>
            <w:tcW w:w="1093" w:type="dxa"/>
            <w:vMerge/>
            <w:vAlign w:val="bottom"/>
          </w:tcPr>
          <w:p w:rsidR="009F45F1" w:rsidRPr="00E24DBF" w:rsidRDefault="009F45F1" w:rsidP="003937B3">
            <w:pPr>
              <w:widowControl/>
              <w:jc w:val="left"/>
              <w:rPr>
                <w:rFonts w:ascii="宋体" w:eastAsia="宋体" w:hAnsi="宋体" w:cs="宋体"/>
                <w:color w:val="000000"/>
                <w:kern w:val="0"/>
                <w:szCs w:val="21"/>
              </w:rPr>
            </w:pP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3</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Db0020181021</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地拉罗司</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恩瑞格</w:t>
            </w:r>
          </w:p>
        </w:tc>
        <w:tc>
          <w:tcPr>
            <w:tcW w:w="999" w:type="dxa"/>
            <w:vAlign w:val="center"/>
          </w:tcPr>
          <w:p w:rsidR="009F45F1" w:rsidRPr="006211D1" w:rsidRDefault="009F45F1" w:rsidP="003937B3">
            <w:pPr>
              <w:widowControl/>
              <w:rPr>
                <w:rFonts w:ascii="仿宋" w:eastAsia="仿宋" w:hAnsi="仿宋" w:cs="宋体"/>
                <w:color w:val="000000"/>
                <w:kern w:val="0"/>
                <w:szCs w:val="21"/>
              </w:rPr>
            </w:pPr>
            <w:r w:rsidRPr="006211D1">
              <w:rPr>
                <w:rFonts w:ascii="仿宋" w:eastAsia="仿宋" w:hAnsi="仿宋" w:cs="宋体" w:hint="eastAsia"/>
                <w:color w:val="000000"/>
                <w:kern w:val="0"/>
                <w:szCs w:val="21"/>
              </w:rPr>
              <w:t>分散片</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Novartis Pharma Schweiz AG</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山德士（中国）制药有限公司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125mg/片（28片/盒）</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1800元/盒</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连续（累计）购买使用2个月，免费供药6个月；再次连续（累计）购买使用1个月，免费供药3个月，简称“1+3”，此后以“1+3”模式循环。</w:t>
            </w:r>
          </w:p>
        </w:tc>
        <w:tc>
          <w:tcPr>
            <w:tcW w:w="1093" w:type="dxa"/>
            <w:vAlign w:val="bottom"/>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衢州天福堂医药有限公司新桥街店</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4</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Db0020181022</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注射用依那西普</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恩利</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注射剂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Boehringer Ingelheim Pharma GmbH&amp;Co.KG</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辉瑞投资有限公司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25mg/瓶</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1640元/瓶</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连续（累计）购买使用10瓶后，免费供药14瓶；再次申请购买使用6瓶后，免费供药18瓶，简称为“6+18”，此后以“6+18”模式循环。</w:t>
            </w:r>
          </w:p>
        </w:tc>
        <w:tc>
          <w:tcPr>
            <w:tcW w:w="1093" w:type="dxa"/>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老百姓大药房连锁（浙江）</w:t>
            </w:r>
            <w:r w:rsidRPr="006211D1">
              <w:rPr>
                <w:rFonts w:ascii="宋体" w:eastAsia="宋体" w:hAnsi="宋体" w:cs="宋体" w:hint="eastAsia"/>
                <w:color w:val="000000"/>
                <w:kern w:val="0"/>
                <w:szCs w:val="21"/>
              </w:rPr>
              <w:br/>
              <w:t>有限公司衢州店</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5</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Db0020181023</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苹果酸舒尼替尼</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索坦</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胶襄</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Pfizer Italia S.r.l.</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辉瑞投资有限公司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12.5mg/粒(28粒/盒)</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10600元/盒</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肾细胞癌患者连续（累计）购买使用12盒，胃肠间质瘤患者连续（累计）购买使用8盒，免费供药至疾病进展；                                           胰腺神经内分泌瘤患者连续（累计）购买使用8盒，免费供药32盒；再次申请购买使用8盒后，免费供药至疾病进展。</w:t>
            </w:r>
          </w:p>
        </w:tc>
        <w:tc>
          <w:tcPr>
            <w:tcW w:w="1093" w:type="dxa"/>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老百姓大药房连锁（浙江）</w:t>
            </w:r>
            <w:r w:rsidRPr="006211D1">
              <w:rPr>
                <w:rFonts w:ascii="宋体" w:eastAsia="宋体" w:hAnsi="宋体" w:cs="宋体" w:hint="eastAsia"/>
                <w:color w:val="000000"/>
                <w:kern w:val="0"/>
                <w:szCs w:val="21"/>
              </w:rPr>
              <w:br/>
              <w:t>有限公司衢州店</w:t>
            </w:r>
          </w:p>
        </w:tc>
      </w:tr>
      <w:tr w:rsidR="009F45F1" w:rsidRPr="00E24DBF" w:rsidTr="003937B3">
        <w:trPr>
          <w:trHeight w:val="2655"/>
        </w:trPr>
        <w:tc>
          <w:tcPr>
            <w:tcW w:w="721"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6</w:t>
            </w:r>
          </w:p>
        </w:tc>
        <w:tc>
          <w:tcPr>
            <w:tcW w:w="1769"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Db0020181024</w:t>
            </w:r>
          </w:p>
        </w:tc>
        <w:tc>
          <w:tcPr>
            <w:tcW w:w="1095"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克唑替尼</w:t>
            </w:r>
          </w:p>
        </w:tc>
        <w:tc>
          <w:tcPr>
            <w:tcW w:w="1175"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赛可瑞</w:t>
            </w:r>
          </w:p>
        </w:tc>
        <w:tc>
          <w:tcPr>
            <w:tcW w:w="999"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胶襄</w:t>
            </w:r>
          </w:p>
        </w:tc>
        <w:tc>
          <w:tcPr>
            <w:tcW w:w="1791"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Pfizer Manufacturing Deutschland GmbH，Betriebsstatte Freiburg</w:t>
            </w:r>
          </w:p>
        </w:tc>
        <w:tc>
          <w:tcPr>
            <w:tcW w:w="1078"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辉瑞投资有限公司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250mg/粒（60粒/盒）</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46500元/盒</w:t>
            </w:r>
          </w:p>
        </w:tc>
        <w:tc>
          <w:tcPr>
            <w:tcW w:w="1491" w:type="dxa"/>
            <w:vMerge w:val="restart"/>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连续（累计）购买使用3盒(自购阶段不同规格只要满足自购盒数即可)，免费供药9盒；再次申请购买使用1盒后，免费供药至疾病进展。       备注：无论患者实际临床治疗剂量为250mg或200mg，患者在自购阶段满足自购阶段瓶数即可</w:t>
            </w:r>
          </w:p>
        </w:tc>
        <w:tc>
          <w:tcPr>
            <w:tcW w:w="1093" w:type="dxa"/>
            <w:vMerge w:val="restart"/>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老百姓大药房连锁（浙江）</w:t>
            </w:r>
            <w:r w:rsidRPr="006211D1">
              <w:rPr>
                <w:rFonts w:ascii="宋体" w:eastAsia="宋体" w:hAnsi="宋体" w:cs="宋体" w:hint="eastAsia"/>
                <w:color w:val="000000"/>
                <w:kern w:val="0"/>
                <w:szCs w:val="21"/>
              </w:rPr>
              <w:br/>
              <w:t>有限公司衢州店</w:t>
            </w:r>
          </w:p>
        </w:tc>
      </w:tr>
      <w:tr w:rsidR="009F45F1" w:rsidRPr="00E24DBF" w:rsidTr="003937B3">
        <w:trPr>
          <w:trHeight w:val="2655"/>
        </w:trPr>
        <w:tc>
          <w:tcPr>
            <w:tcW w:w="721"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769"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095"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175"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999"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791"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078"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200mg/粒（60粒/盒）(差比价）</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39198.10元/盒</w:t>
            </w:r>
          </w:p>
        </w:tc>
        <w:tc>
          <w:tcPr>
            <w:tcW w:w="1491" w:type="dxa"/>
            <w:vMerge/>
            <w:vAlign w:val="center"/>
          </w:tcPr>
          <w:p w:rsidR="009F45F1" w:rsidRPr="00E24DBF" w:rsidRDefault="009F45F1" w:rsidP="003937B3">
            <w:pPr>
              <w:widowControl/>
              <w:jc w:val="left"/>
              <w:rPr>
                <w:rFonts w:ascii="仿宋" w:eastAsia="仿宋" w:hAnsi="仿宋" w:cs="宋体"/>
                <w:color w:val="000000"/>
                <w:kern w:val="0"/>
                <w:szCs w:val="21"/>
              </w:rPr>
            </w:pPr>
          </w:p>
        </w:tc>
        <w:tc>
          <w:tcPr>
            <w:tcW w:w="1093" w:type="dxa"/>
            <w:vMerge/>
            <w:vAlign w:val="center"/>
          </w:tcPr>
          <w:p w:rsidR="009F45F1" w:rsidRPr="00E24DBF" w:rsidRDefault="009F45F1" w:rsidP="003937B3">
            <w:pPr>
              <w:widowControl/>
              <w:jc w:val="left"/>
              <w:rPr>
                <w:rFonts w:ascii="宋体" w:eastAsia="宋体" w:hAnsi="宋体" w:cs="宋体"/>
                <w:color w:val="000000"/>
                <w:kern w:val="0"/>
                <w:szCs w:val="21"/>
              </w:rPr>
            </w:pPr>
          </w:p>
        </w:tc>
      </w:tr>
      <w:tr w:rsidR="009F45F1" w:rsidRPr="00E24DBF" w:rsidTr="003937B3">
        <w:trPr>
          <w:trHeight w:val="3900"/>
        </w:trPr>
        <w:tc>
          <w:tcPr>
            <w:tcW w:w="721"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7</w:t>
            </w:r>
          </w:p>
        </w:tc>
        <w:tc>
          <w:tcPr>
            <w:tcW w:w="1769"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Db0020181025</w:t>
            </w:r>
          </w:p>
        </w:tc>
        <w:tc>
          <w:tcPr>
            <w:tcW w:w="1095"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阿昔替尼</w:t>
            </w:r>
          </w:p>
        </w:tc>
        <w:tc>
          <w:tcPr>
            <w:tcW w:w="1175"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英立达</w:t>
            </w:r>
          </w:p>
        </w:tc>
        <w:tc>
          <w:tcPr>
            <w:tcW w:w="999"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片剂</w:t>
            </w:r>
          </w:p>
        </w:tc>
        <w:tc>
          <w:tcPr>
            <w:tcW w:w="1791"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Pfizer Manufacturing Deutschland GmbH, Betriebsstatte Freiburg</w:t>
            </w:r>
          </w:p>
        </w:tc>
        <w:tc>
          <w:tcPr>
            <w:tcW w:w="1078"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辉瑞投资有限公司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5mg/片（28片/盒）</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17500元/盒</w:t>
            </w:r>
          </w:p>
        </w:tc>
        <w:tc>
          <w:tcPr>
            <w:tcW w:w="1491" w:type="dxa"/>
            <w:vMerge w:val="restart"/>
            <w:vAlign w:val="center"/>
          </w:tcPr>
          <w:p w:rsidR="009F45F1" w:rsidRPr="006211D1" w:rsidRDefault="009F45F1" w:rsidP="003937B3">
            <w:pPr>
              <w:widowControl/>
              <w:jc w:val="left"/>
              <w:rPr>
                <w:rFonts w:ascii="仿宋" w:eastAsia="仿宋" w:hAnsi="仿宋" w:cs="宋体"/>
                <w:color w:val="000000"/>
                <w:kern w:val="0"/>
                <w:sz w:val="18"/>
                <w:szCs w:val="18"/>
              </w:rPr>
            </w:pPr>
            <w:r w:rsidRPr="006211D1">
              <w:rPr>
                <w:rFonts w:ascii="仿宋" w:eastAsia="仿宋" w:hAnsi="仿宋" w:cs="宋体" w:hint="eastAsia"/>
                <w:color w:val="000000"/>
                <w:kern w:val="0"/>
                <w:sz w:val="18"/>
                <w:szCs w:val="18"/>
              </w:rPr>
              <w:t>1、既往接受细胞因子或其他酪氨酸激酶抑制剂治疗失败的患者：连续（累计）购买使用6盒（自购阶段不同剂量按5mg*28片/盒换算），免费供药18盒；再次申请购买使用2盒后，免费供药至疾病进展。                                       2、至少使用过1个治疗周期索坦的患者（4盒/12.5mg*28粒）连续（累计）购买使用5盒（自购阶段不同剂量按5mg*28片/盒换算）后，免费供药至疾病进展。</w:t>
            </w:r>
          </w:p>
        </w:tc>
        <w:tc>
          <w:tcPr>
            <w:tcW w:w="1093" w:type="dxa"/>
            <w:vMerge w:val="restart"/>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老百姓大药房连锁（浙江）</w:t>
            </w:r>
            <w:r w:rsidRPr="006211D1">
              <w:rPr>
                <w:rFonts w:ascii="宋体" w:eastAsia="宋体" w:hAnsi="宋体" w:cs="宋体" w:hint="eastAsia"/>
                <w:color w:val="000000"/>
                <w:kern w:val="0"/>
                <w:szCs w:val="21"/>
              </w:rPr>
              <w:br/>
              <w:t>有限公司衢州店</w:t>
            </w:r>
          </w:p>
        </w:tc>
      </w:tr>
      <w:tr w:rsidR="009F45F1" w:rsidRPr="00E24DBF" w:rsidTr="003937B3">
        <w:trPr>
          <w:trHeight w:val="3900"/>
        </w:trPr>
        <w:tc>
          <w:tcPr>
            <w:tcW w:w="721"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769"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095"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175"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999"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791"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078"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1mg/粒（14片/盒）(差比价）</w:t>
            </w:r>
          </w:p>
        </w:tc>
        <w:tc>
          <w:tcPr>
            <w:tcW w:w="1417" w:type="dxa"/>
            <w:vAlign w:val="center"/>
          </w:tcPr>
          <w:p w:rsidR="009F45F1" w:rsidRPr="006211D1" w:rsidRDefault="009F45F1" w:rsidP="003937B3">
            <w:pPr>
              <w:widowControl/>
              <w:jc w:val="left"/>
              <w:rPr>
                <w:rFonts w:ascii="黑体" w:eastAsia="黑体" w:hAnsi="黑体" w:cs="宋体"/>
                <w:color w:val="000000"/>
                <w:kern w:val="0"/>
                <w:szCs w:val="21"/>
              </w:rPr>
            </w:pPr>
            <w:r w:rsidRPr="006211D1">
              <w:rPr>
                <w:rFonts w:ascii="黑体" w:eastAsia="黑体" w:hAnsi="黑体" w:cs="宋体" w:hint="eastAsia"/>
                <w:color w:val="000000"/>
                <w:kern w:val="0"/>
                <w:szCs w:val="21"/>
              </w:rPr>
              <w:t>2597.93元/盒</w:t>
            </w:r>
          </w:p>
        </w:tc>
        <w:tc>
          <w:tcPr>
            <w:tcW w:w="1491" w:type="dxa"/>
            <w:vMerge/>
            <w:vAlign w:val="center"/>
          </w:tcPr>
          <w:p w:rsidR="009F45F1" w:rsidRPr="00E24DBF" w:rsidRDefault="009F45F1" w:rsidP="003937B3">
            <w:pPr>
              <w:widowControl/>
              <w:jc w:val="left"/>
              <w:rPr>
                <w:rFonts w:ascii="仿宋" w:eastAsia="仿宋" w:hAnsi="仿宋" w:cs="宋体"/>
                <w:color w:val="000000"/>
                <w:kern w:val="0"/>
                <w:sz w:val="18"/>
                <w:szCs w:val="18"/>
              </w:rPr>
            </w:pPr>
          </w:p>
        </w:tc>
        <w:tc>
          <w:tcPr>
            <w:tcW w:w="1093" w:type="dxa"/>
            <w:vMerge/>
            <w:vAlign w:val="center"/>
          </w:tcPr>
          <w:p w:rsidR="009F45F1" w:rsidRPr="00E24DBF" w:rsidRDefault="009F45F1" w:rsidP="003937B3">
            <w:pPr>
              <w:widowControl/>
              <w:jc w:val="left"/>
              <w:rPr>
                <w:rFonts w:ascii="宋体" w:eastAsia="宋体" w:hAnsi="宋体" w:cs="宋体"/>
                <w:color w:val="000000"/>
                <w:kern w:val="0"/>
                <w:szCs w:val="21"/>
              </w:rPr>
            </w:pP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8</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Db0020151004</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盐酸多柔比星脂质体</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里葆多</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注射剂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上海复旦张江生物医药股份有限公司</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上海复旦张江生物医药股份有限公司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20mg/10ml/瓶</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4000元/瓶</w:t>
            </w:r>
          </w:p>
        </w:tc>
        <w:tc>
          <w:tcPr>
            <w:tcW w:w="1491" w:type="dxa"/>
            <w:vAlign w:val="center"/>
          </w:tcPr>
          <w:p w:rsidR="009F45F1" w:rsidRPr="006211D1" w:rsidRDefault="009F45F1" w:rsidP="003937B3">
            <w:pPr>
              <w:widowControl/>
              <w:jc w:val="left"/>
              <w:rPr>
                <w:rFonts w:ascii="仿宋" w:eastAsia="仿宋" w:hAnsi="仿宋" w:cs="宋体"/>
                <w:color w:val="000000"/>
                <w:kern w:val="0"/>
                <w:sz w:val="18"/>
                <w:szCs w:val="18"/>
              </w:rPr>
            </w:pPr>
            <w:r w:rsidRPr="006211D1">
              <w:rPr>
                <w:rFonts w:ascii="仿宋" w:eastAsia="仿宋" w:hAnsi="仿宋" w:cs="宋体" w:hint="eastAsia"/>
                <w:color w:val="000000"/>
                <w:kern w:val="0"/>
                <w:sz w:val="18"/>
                <w:szCs w:val="18"/>
              </w:rPr>
              <w:t>无</w:t>
            </w:r>
          </w:p>
        </w:tc>
        <w:tc>
          <w:tcPr>
            <w:tcW w:w="1093" w:type="dxa"/>
            <w:vAlign w:val="center"/>
          </w:tcPr>
          <w:p w:rsidR="009F45F1" w:rsidRPr="006211D1" w:rsidRDefault="009F45F1" w:rsidP="003937B3">
            <w:pPr>
              <w:widowControl/>
              <w:jc w:val="left"/>
              <w:rPr>
                <w:rFonts w:ascii="宋体" w:eastAsia="宋体" w:hAnsi="宋体" w:cs="宋体"/>
                <w:color w:val="000000"/>
                <w:kern w:val="0"/>
                <w:sz w:val="24"/>
                <w:szCs w:val="24"/>
              </w:rPr>
            </w:pPr>
            <w:r w:rsidRPr="006211D1">
              <w:rPr>
                <w:rFonts w:ascii="宋体" w:eastAsia="宋体" w:hAnsi="宋体" w:cs="宋体" w:hint="eastAsia"/>
                <w:color w:val="000000"/>
                <w:kern w:val="0"/>
                <w:sz w:val="24"/>
                <w:szCs w:val="24"/>
              </w:rPr>
              <w:t>老百姓大药房连锁（浙江）</w:t>
            </w:r>
            <w:r w:rsidRPr="006211D1">
              <w:rPr>
                <w:rFonts w:ascii="宋体" w:eastAsia="宋体" w:hAnsi="宋体" w:cs="宋体" w:hint="eastAsia"/>
                <w:color w:val="000000"/>
                <w:kern w:val="0"/>
                <w:sz w:val="24"/>
                <w:szCs w:val="24"/>
              </w:rPr>
              <w:br/>
              <w:t>有限公司衢州店、衢州天福堂医药有限公司新桥街店</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9</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Db0020151005</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西妥昔单抗</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爱必妥</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注射剂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德国默克公司（Merck KGaA）</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默克雪兰诺有限公司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100mg（20ml）/瓶</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3600元/瓶</w:t>
            </w:r>
          </w:p>
        </w:tc>
        <w:tc>
          <w:tcPr>
            <w:tcW w:w="1491" w:type="dxa"/>
            <w:vAlign w:val="center"/>
          </w:tcPr>
          <w:p w:rsidR="009F45F1" w:rsidRPr="006211D1" w:rsidRDefault="009F45F1" w:rsidP="003937B3">
            <w:pPr>
              <w:widowControl/>
              <w:jc w:val="left"/>
              <w:rPr>
                <w:rFonts w:ascii="仿宋" w:eastAsia="仿宋" w:hAnsi="仿宋" w:cs="宋体"/>
                <w:color w:val="000000"/>
                <w:kern w:val="0"/>
                <w:sz w:val="18"/>
                <w:szCs w:val="18"/>
              </w:rPr>
            </w:pPr>
            <w:r w:rsidRPr="006211D1">
              <w:rPr>
                <w:rFonts w:ascii="仿宋" w:eastAsia="仿宋" w:hAnsi="仿宋" w:cs="宋体" w:hint="eastAsia"/>
                <w:color w:val="000000"/>
                <w:kern w:val="0"/>
                <w:sz w:val="18"/>
                <w:szCs w:val="18"/>
              </w:rPr>
              <w:t>连续购买使用3个月后经医学评估符合赠药标准，可获得赠药至疾病进展</w:t>
            </w:r>
          </w:p>
        </w:tc>
        <w:tc>
          <w:tcPr>
            <w:tcW w:w="1093" w:type="dxa"/>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衢州天福堂医药有限公司新桥街店</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10</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Db0020151011</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注射用英夫利西单抗</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类克</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注射剂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Cilag AG</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西安杨森制药有限公司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100mg/瓶</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4900元/瓶</w:t>
            </w:r>
          </w:p>
        </w:tc>
        <w:tc>
          <w:tcPr>
            <w:tcW w:w="1491" w:type="dxa"/>
            <w:vAlign w:val="center"/>
          </w:tcPr>
          <w:p w:rsidR="009F45F1" w:rsidRPr="006211D1" w:rsidRDefault="009F45F1" w:rsidP="003937B3">
            <w:pPr>
              <w:widowControl/>
              <w:jc w:val="left"/>
              <w:rPr>
                <w:rFonts w:ascii="仿宋" w:eastAsia="仿宋" w:hAnsi="仿宋" w:cs="宋体"/>
                <w:color w:val="000000"/>
                <w:kern w:val="0"/>
                <w:sz w:val="18"/>
                <w:szCs w:val="18"/>
              </w:rPr>
            </w:pPr>
            <w:r w:rsidRPr="006211D1">
              <w:rPr>
                <w:rFonts w:ascii="仿宋" w:eastAsia="仿宋" w:hAnsi="仿宋" w:cs="宋体" w:hint="eastAsia"/>
                <w:color w:val="000000"/>
                <w:kern w:val="0"/>
                <w:sz w:val="18"/>
                <w:szCs w:val="18"/>
              </w:rPr>
              <w:t>非低保患者：购买使用4个疗程后，由乙方负责向患者免费供药2个疗程。再次申请并连续购买使用2个疗程产品后，由乙方负责向患者免费供药4个疗程，简称为“2+4”，此后可以“2+4”方式循环申请。</w:t>
            </w:r>
            <w:r w:rsidRPr="006211D1">
              <w:rPr>
                <w:rFonts w:ascii="仿宋" w:eastAsia="仿宋" w:hAnsi="仿宋" w:cs="宋体" w:hint="eastAsia"/>
                <w:color w:val="000000"/>
                <w:kern w:val="0"/>
                <w:sz w:val="18"/>
                <w:szCs w:val="18"/>
              </w:rPr>
              <w:br/>
              <w:t>低保患者：符合适应症的由乙方负责落实免费供药事宜。</w:t>
            </w:r>
          </w:p>
        </w:tc>
        <w:tc>
          <w:tcPr>
            <w:tcW w:w="1093" w:type="dxa"/>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衢州天福堂医药有限公司新桥街店</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11</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Db0020151014</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注射用醋酸兰瑞肽</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索马杜林</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注射剂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IPSEN PHARMA BIOTECH</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博福-益普生（天津）制药有限公司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40mg/支</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2800元/支</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无</w:t>
            </w:r>
          </w:p>
        </w:tc>
        <w:tc>
          <w:tcPr>
            <w:tcW w:w="1093" w:type="dxa"/>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浙江佑安医药零售连锁有限公司</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12</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Db0020151015</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特立帕肽</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复泰奥</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注射剂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Lilly France</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礼来贸易有限公司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20ug:80ul,2.4ml/支</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5200元/支</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买6支免费供药7支</w:t>
            </w:r>
          </w:p>
        </w:tc>
        <w:tc>
          <w:tcPr>
            <w:tcW w:w="1093" w:type="dxa"/>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衢州天福堂医药有限公司新桥街店</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13</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Db0020151016</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注射用伊米苷酶</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思而赞</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注射剂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Genzyme Ireland Ltd</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赛诺菲（中国）投资有限公司上海分公司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400u/瓶</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20700元/瓶</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购买8个月免费供药4个月</w:t>
            </w:r>
          </w:p>
        </w:tc>
        <w:tc>
          <w:tcPr>
            <w:tcW w:w="1093" w:type="dxa"/>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无</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14</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Db0020151017</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盐酸沙丙蝶呤</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科望</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片剂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Excella GmbH</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百傲万里上海生物医药技术咨询有限公司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100mg/片，30片/瓶</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7480元/瓶</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无</w:t>
            </w:r>
          </w:p>
        </w:tc>
        <w:tc>
          <w:tcPr>
            <w:tcW w:w="1093" w:type="dxa"/>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衢州天福堂医药有限公司新桥街店</w:t>
            </w:r>
          </w:p>
        </w:tc>
      </w:tr>
      <w:tr w:rsidR="009F45F1" w:rsidRPr="00E24DBF" w:rsidTr="003937B3">
        <w:trPr>
          <w:trHeight w:val="938"/>
        </w:trPr>
        <w:tc>
          <w:tcPr>
            <w:tcW w:w="721"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15</w:t>
            </w:r>
          </w:p>
        </w:tc>
        <w:tc>
          <w:tcPr>
            <w:tcW w:w="1769"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Db0020181026</w:t>
            </w:r>
          </w:p>
        </w:tc>
        <w:tc>
          <w:tcPr>
            <w:tcW w:w="1095"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乙磺酸尼达尼布</w:t>
            </w:r>
          </w:p>
        </w:tc>
        <w:tc>
          <w:tcPr>
            <w:tcW w:w="1175"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维加特</w:t>
            </w:r>
          </w:p>
        </w:tc>
        <w:tc>
          <w:tcPr>
            <w:tcW w:w="999"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软胶襄</w:t>
            </w:r>
          </w:p>
        </w:tc>
        <w:tc>
          <w:tcPr>
            <w:tcW w:w="1791"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Boehringer Ingelheim International GmbH</w:t>
            </w:r>
          </w:p>
        </w:tc>
        <w:tc>
          <w:tcPr>
            <w:tcW w:w="1078"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勃林格殷格翰（中国）投资有限公司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150mg/粒（30粒/盒）</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9537元/盒</w:t>
            </w:r>
          </w:p>
        </w:tc>
        <w:tc>
          <w:tcPr>
            <w:tcW w:w="1491" w:type="dxa"/>
            <w:vMerge w:val="restart"/>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连续（累计）购买使用9盒，免费供药15盒，简称“9+15”，此后以“9+15”模式循环。</w:t>
            </w:r>
          </w:p>
        </w:tc>
        <w:tc>
          <w:tcPr>
            <w:tcW w:w="1093" w:type="dxa"/>
            <w:vMerge w:val="restart"/>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衢州天福堂医药有限公司新桥街店</w:t>
            </w:r>
          </w:p>
        </w:tc>
      </w:tr>
      <w:tr w:rsidR="009F45F1" w:rsidRPr="00E24DBF" w:rsidTr="003937B3">
        <w:trPr>
          <w:trHeight w:val="937"/>
        </w:trPr>
        <w:tc>
          <w:tcPr>
            <w:tcW w:w="721"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769"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095"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175"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999"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791"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078"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100mg/粒（30粒/盒）(差比价）</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6992元/盒</w:t>
            </w:r>
          </w:p>
        </w:tc>
        <w:tc>
          <w:tcPr>
            <w:tcW w:w="1491" w:type="dxa"/>
            <w:vMerge/>
            <w:vAlign w:val="center"/>
          </w:tcPr>
          <w:p w:rsidR="009F45F1" w:rsidRPr="00E24DBF" w:rsidRDefault="009F45F1" w:rsidP="003937B3">
            <w:pPr>
              <w:widowControl/>
              <w:jc w:val="left"/>
              <w:rPr>
                <w:rFonts w:ascii="仿宋" w:eastAsia="仿宋" w:hAnsi="仿宋" w:cs="宋体"/>
                <w:color w:val="000000"/>
                <w:kern w:val="0"/>
                <w:szCs w:val="21"/>
              </w:rPr>
            </w:pPr>
          </w:p>
        </w:tc>
        <w:tc>
          <w:tcPr>
            <w:tcW w:w="1093" w:type="dxa"/>
            <w:vMerge/>
            <w:vAlign w:val="center"/>
          </w:tcPr>
          <w:p w:rsidR="009F45F1" w:rsidRPr="00E24DBF" w:rsidRDefault="009F45F1" w:rsidP="003937B3">
            <w:pPr>
              <w:widowControl/>
              <w:jc w:val="left"/>
              <w:rPr>
                <w:rFonts w:ascii="宋体" w:eastAsia="宋体" w:hAnsi="宋体" w:cs="宋体"/>
                <w:color w:val="000000"/>
                <w:kern w:val="0"/>
                <w:szCs w:val="21"/>
              </w:rPr>
            </w:pP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16</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Db0020181027</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培唑帕尼</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维全特</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片剂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Novartis Pharma Schweiz AG</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山德士（中国）制药有限公司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200mg*30片</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11700元/盒</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连续（累计）购买使用3个月（12盒），免费供药至疾病进展。</w:t>
            </w:r>
          </w:p>
        </w:tc>
        <w:tc>
          <w:tcPr>
            <w:tcW w:w="1093"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衢州天福堂医药有限公司新桥街店</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17</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Db0020181028</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注射用紫杉醇（白蛋白结合型）</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Abraxane</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注射剂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Celgene Corporation</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百剂神州医药信息咨询（上海）有限公司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100mg（1瓶/盒）</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3400元/瓶</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无</w:t>
            </w:r>
          </w:p>
        </w:tc>
        <w:tc>
          <w:tcPr>
            <w:tcW w:w="1093" w:type="dxa"/>
            <w:vAlign w:val="center"/>
          </w:tcPr>
          <w:p w:rsidR="009F45F1" w:rsidRPr="006211D1" w:rsidRDefault="009F45F1" w:rsidP="003937B3">
            <w:pPr>
              <w:widowControl/>
              <w:jc w:val="left"/>
              <w:rPr>
                <w:rFonts w:ascii="宋体" w:eastAsia="宋体" w:hAnsi="宋体" w:cs="宋体"/>
                <w:kern w:val="0"/>
                <w:szCs w:val="21"/>
              </w:rPr>
            </w:pPr>
            <w:r w:rsidRPr="006211D1">
              <w:rPr>
                <w:rFonts w:ascii="宋体" w:eastAsia="宋体" w:hAnsi="宋体" w:cs="宋体" w:hint="eastAsia"/>
                <w:kern w:val="0"/>
                <w:szCs w:val="21"/>
              </w:rPr>
              <w:t>衢州天福堂医药有限公司新桥街店</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18</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Db0020181029</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伊布替尼</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亿珂</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胶襄</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Catalent CTS LLC</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西安杨森制药有限公司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140mg/90粒</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40824元/瓶</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连续（累计）购买使用3瓶后，最多免费供药3瓶；再次申请购买使用1瓶后，最多免费供药2瓶，简称为“1+2”，此后以“1+2”模式循环。</w:t>
            </w:r>
            <w:r w:rsidRPr="006211D1">
              <w:rPr>
                <w:rFonts w:ascii="仿宋" w:eastAsia="仿宋" w:hAnsi="仿宋" w:cs="宋体" w:hint="eastAsia"/>
                <w:color w:val="000000"/>
                <w:kern w:val="0"/>
                <w:szCs w:val="21"/>
              </w:rPr>
              <w:br/>
            </w:r>
            <w:r w:rsidRPr="006211D1">
              <w:rPr>
                <w:rFonts w:ascii="仿宋" w:eastAsia="仿宋" w:hAnsi="仿宋" w:cs="宋体" w:hint="eastAsia"/>
                <w:color w:val="000000"/>
                <w:kern w:val="0"/>
                <w:szCs w:val="21"/>
              </w:rPr>
              <w:br/>
              <w:t>低保患者：对于经民政部颁发低保证且已领取12个月低保金的低保患者，免费供药可最多获得9瓶，此后申请购买使用1瓶后，最多免费供药2瓶，以“1+2”模式循环。</w:t>
            </w:r>
          </w:p>
        </w:tc>
        <w:tc>
          <w:tcPr>
            <w:tcW w:w="1093" w:type="dxa"/>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衢州天福堂医药有限公司新桥街店</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19</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Db0020181030</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维莫非尼</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佐博伏</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片剂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Roche Pharma (Schweiz) AG</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上海罗氏制药有限公司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240mg*56片/盒</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10360元/盒</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无</w:t>
            </w:r>
          </w:p>
        </w:tc>
        <w:tc>
          <w:tcPr>
            <w:tcW w:w="1093" w:type="dxa"/>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老百姓大药房连锁（浙江）</w:t>
            </w:r>
            <w:r w:rsidRPr="006211D1">
              <w:rPr>
                <w:rFonts w:ascii="宋体" w:eastAsia="宋体" w:hAnsi="宋体" w:cs="宋体" w:hint="eastAsia"/>
                <w:color w:val="000000"/>
                <w:kern w:val="0"/>
                <w:szCs w:val="21"/>
              </w:rPr>
              <w:br/>
              <w:t>有限公司衢州店</w:t>
            </w:r>
          </w:p>
        </w:tc>
      </w:tr>
      <w:tr w:rsidR="009F45F1" w:rsidRPr="00E24DBF" w:rsidTr="003937B3">
        <w:trPr>
          <w:trHeight w:val="465"/>
        </w:trPr>
        <w:tc>
          <w:tcPr>
            <w:tcW w:w="721"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20</w:t>
            </w:r>
          </w:p>
        </w:tc>
        <w:tc>
          <w:tcPr>
            <w:tcW w:w="1769"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Db0020181031</w:t>
            </w:r>
          </w:p>
        </w:tc>
        <w:tc>
          <w:tcPr>
            <w:tcW w:w="1095"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安立生坦</w:t>
            </w:r>
          </w:p>
        </w:tc>
        <w:tc>
          <w:tcPr>
            <w:tcW w:w="1175"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凡瑞克</w:t>
            </w:r>
          </w:p>
        </w:tc>
        <w:tc>
          <w:tcPr>
            <w:tcW w:w="999"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片剂</w:t>
            </w:r>
          </w:p>
        </w:tc>
        <w:tc>
          <w:tcPr>
            <w:tcW w:w="1791"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PATHEON INC.</w:t>
            </w:r>
          </w:p>
        </w:tc>
        <w:tc>
          <w:tcPr>
            <w:tcW w:w="1078" w:type="dxa"/>
            <w:vMerge w:val="restart"/>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葛兰素史克（中国）投资有限公司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5mg*30片/盒</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2850元/盒</w:t>
            </w:r>
          </w:p>
        </w:tc>
        <w:tc>
          <w:tcPr>
            <w:tcW w:w="1491" w:type="dxa"/>
            <w:vMerge w:val="restart"/>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无</w:t>
            </w:r>
          </w:p>
        </w:tc>
        <w:tc>
          <w:tcPr>
            <w:tcW w:w="1093" w:type="dxa"/>
            <w:vMerge w:val="restart"/>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衢州天福堂医药有限公司新桥街店</w:t>
            </w:r>
          </w:p>
        </w:tc>
      </w:tr>
      <w:tr w:rsidR="009F45F1" w:rsidRPr="00E24DBF" w:rsidTr="003937B3">
        <w:trPr>
          <w:trHeight w:val="465"/>
        </w:trPr>
        <w:tc>
          <w:tcPr>
            <w:tcW w:w="721"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769"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095"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175"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999"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791"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078" w:type="dxa"/>
            <w:vMerge/>
            <w:vAlign w:val="center"/>
          </w:tcPr>
          <w:p w:rsidR="009F45F1" w:rsidRPr="00E24DBF" w:rsidRDefault="009F45F1" w:rsidP="003937B3">
            <w:pPr>
              <w:widowControl/>
              <w:jc w:val="center"/>
              <w:rPr>
                <w:rFonts w:ascii="仿宋" w:eastAsia="仿宋" w:hAnsi="仿宋" w:cs="宋体"/>
                <w:color w:val="000000"/>
                <w:kern w:val="0"/>
                <w:szCs w:val="21"/>
              </w:rPr>
            </w:pP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10mg*30片/盒(差比价）</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4845元/盒</w:t>
            </w:r>
          </w:p>
        </w:tc>
        <w:tc>
          <w:tcPr>
            <w:tcW w:w="1491" w:type="dxa"/>
            <w:vMerge/>
            <w:vAlign w:val="center"/>
          </w:tcPr>
          <w:p w:rsidR="009F45F1" w:rsidRPr="00E24DBF" w:rsidRDefault="009F45F1" w:rsidP="003937B3">
            <w:pPr>
              <w:widowControl/>
              <w:jc w:val="left"/>
              <w:rPr>
                <w:rFonts w:ascii="仿宋" w:eastAsia="仿宋" w:hAnsi="仿宋" w:cs="宋体"/>
                <w:color w:val="000000"/>
                <w:kern w:val="0"/>
                <w:szCs w:val="21"/>
              </w:rPr>
            </w:pPr>
          </w:p>
        </w:tc>
        <w:tc>
          <w:tcPr>
            <w:tcW w:w="1093" w:type="dxa"/>
            <w:vMerge/>
            <w:vAlign w:val="center"/>
          </w:tcPr>
          <w:p w:rsidR="009F45F1" w:rsidRPr="00E24DBF" w:rsidRDefault="009F45F1" w:rsidP="003937B3">
            <w:pPr>
              <w:widowControl/>
              <w:jc w:val="left"/>
              <w:rPr>
                <w:rFonts w:ascii="宋体" w:eastAsia="宋体" w:hAnsi="宋体" w:cs="宋体"/>
                <w:color w:val="000000"/>
                <w:kern w:val="0"/>
                <w:szCs w:val="21"/>
              </w:rPr>
            </w:pP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21</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Db0020181032</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磷酸芦可替尼</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捷恪卫</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片剂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Novartis Europharm Limited.英国</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山德士（中国）制药有限公司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5mg/片（60片/盒）</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6800元/盒</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连续（累计）购买使用3个月，免费供药9个月，简称为“3+9”，此后以“3+9”模式循环。</w:t>
            </w:r>
          </w:p>
        </w:tc>
        <w:tc>
          <w:tcPr>
            <w:tcW w:w="1093"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衢州天福堂医药有限公司新桥街店</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22</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Db0020181033</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克拉屈滨</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艾博定</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注射剂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海正辉瑞制药有限公司</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海正辉瑞制药有限公司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10ml:克拉屈滨10mg与氯化钠90mg</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5960元/支</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连续（累计）购买使用4支，免费供药1支，简称“4+1”，此后以“4+1”模式循环。</w:t>
            </w:r>
          </w:p>
        </w:tc>
        <w:tc>
          <w:tcPr>
            <w:tcW w:w="1093" w:type="dxa"/>
            <w:vAlign w:val="center"/>
          </w:tcPr>
          <w:p w:rsidR="009F45F1" w:rsidRPr="006211D1" w:rsidRDefault="009F45F1" w:rsidP="003937B3">
            <w:pPr>
              <w:widowControl/>
              <w:jc w:val="left"/>
              <w:rPr>
                <w:rFonts w:ascii="宋体" w:eastAsia="宋体" w:hAnsi="宋体" w:cs="宋体"/>
                <w:kern w:val="0"/>
                <w:szCs w:val="21"/>
              </w:rPr>
            </w:pPr>
            <w:r w:rsidRPr="006211D1">
              <w:rPr>
                <w:rFonts w:ascii="宋体" w:eastAsia="宋体" w:hAnsi="宋体" w:cs="宋体" w:hint="eastAsia"/>
                <w:kern w:val="0"/>
                <w:szCs w:val="21"/>
              </w:rPr>
              <w:t>衢州天福堂医药有限公司新桥街店</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23</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Db0020181034</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甲磺酸奥希替尼</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泰瑞沙</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片剂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AstraZeneca AB</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阿斯利康（无锡）贸易有限公司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80mg/片（30片/盒）</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49800元/盒</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符合项目医学标准的患者将免费获得药品援助直至疾病进展；非低保病人需全额自费连续服药满3个月（90片），经审批后第一期最多可以获得9个月(270片)的药品援助，到期经项目医生评估，如果患者仍可从药品治疗中获益，需全额自费服药满2个月（60片）后，经审批后，可以获得药品援助直至疾病进展。乙方承诺：适用人群自愿到乙方指定的有资质的第三方检测机构进行T790耐药检测时，费用由乙方承担。</w:t>
            </w:r>
          </w:p>
        </w:tc>
        <w:tc>
          <w:tcPr>
            <w:tcW w:w="1093" w:type="dxa"/>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衢州天福堂医药有限公司新桥街店</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24</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Db0020181035</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盐酸达拉他韦</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百立泽</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片剂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AstraZeneca Pharmaceuticals LP</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中美上海施贵宝制药有限公司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60mg*14片/盒</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2622.9元/盒</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绩效考核：参保人经24周治疗结束后HCVRNA检测阳性或参保人经24周治疗结束后在12周观察期内HCVRNA检测出现重复阳性，医保基金支付部分由乙方(或乙方合作机构)承担。具体方式由双方另行协商。</w:t>
            </w:r>
            <w:r w:rsidRPr="006211D1">
              <w:rPr>
                <w:rFonts w:ascii="仿宋" w:eastAsia="仿宋" w:hAnsi="仿宋" w:cs="宋体" w:hint="eastAsia"/>
                <w:color w:val="000000"/>
                <w:kern w:val="0"/>
                <w:szCs w:val="21"/>
              </w:rPr>
              <w:br/>
              <w:t>乙方承诺提供免费基线耐药检测。</w:t>
            </w:r>
          </w:p>
        </w:tc>
        <w:tc>
          <w:tcPr>
            <w:tcW w:w="1093" w:type="dxa"/>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衢州市化城平安堂医药零售</w:t>
            </w:r>
            <w:r w:rsidRPr="006211D1">
              <w:rPr>
                <w:rFonts w:ascii="宋体" w:eastAsia="宋体" w:hAnsi="宋体" w:cs="宋体" w:hint="eastAsia"/>
                <w:color w:val="000000"/>
                <w:kern w:val="0"/>
                <w:szCs w:val="21"/>
              </w:rPr>
              <w:br/>
              <w:t>有限公司、衢州天福堂医药有限公司新桥街店</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25</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Db0020181036</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阿舒瑞韦</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速维普</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软胶襄</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Catalent Pharma Solutions LLC</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中美上海施贵宝制药有限公司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100mg*28粒/盒</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267.4元/盒</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p>
        </w:tc>
        <w:tc>
          <w:tcPr>
            <w:tcW w:w="1093" w:type="dxa"/>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衢州市化城平安堂医药零售</w:t>
            </w:r>
            <w:r w:rsidRPr="006211D1">
              <w:rPr>
                <w:rFonts w:ascii="宋体" w:eastAsia="宋体" w:hAnsi="宋体" w:cs="宋体" w:hint="eastAsia"/>
                <w:color w:val="000000"/>
                <w:kern w:val="0"/>
                <w:szCs w:val="21"/>
              </w:rPr>
              <w:br/>
              <w:t>有限公司、衢州天福堂医药有限公司新桥街店</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26</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Db0020181037</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索磷布韦</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索华迪</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片剂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Gilead Sciences Ireland UC</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吉利德（上海）医药科技有限公司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400mg/28片/瓶</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11200元/瓶</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基因1、3、6型患者连续（累计）购买使用3瓶后，免费供药3瓶。2型患者治疗周期为12周（3瓶），未达到赠药条件。（4、5型国内还没有病例发现）           绩效考核:（1）参保人经24周治疗结束后HCVRNA检测阳性甲方不予支付；（2）参保人经24周治疗结束后在12周观察期内HCVRNA定量检测出现重复阳性，医保基金支付部分由乙方承担，具体方式由双方另行协商。</w:t>
            </w:r>
            <w:r w:rsidRPr="006211D1">
              <w:rPr>
                <w:rFonts w:ascii="仿宋" w:eastAsia="仿宋" w:hAnsi="仿宋" w:cs="宋体" w:hint="eastAsia"/>
                <w:color w:val="000000"/>
                <w:kern w:val="0"/>
                <w:szCs w:val="21"/>
              </w:rPr>
              <w:br/>
              <w:t>乙方承诺为使用该药的患者提供免费的基因检测费用。</w:t>
            </w:r>
          </w:p>
        </w:tc>
        <w:tc>
          <w:tcPr>
            <w:tcW w:w="1093" w:type="dxa"/>
            <w:vAlign w:val="bottom"/>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衢州天福堂医药有限公司新桥街店</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27</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Db0020181038</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注射用雷替曲塞</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 xml:space="preserve">　</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注射剂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南京正大天晴制药有限公司</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南京正大天晴制药有限公司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2mg/支</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1505元/支</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无</w:t>
            </w:r>
          </w:p>
        </w:tc>
        <w:tc>
          <w:tcPr>
            <w:tcW w:w="1093" w:type="dxa"/>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衢州天福堂医药有限公司新桥街店</w:t>
            </w:r>
          </w:p>
        </w:tc>
      </w:tr>
      <w:tr w:rsidR="009F45F1" w:rsidRPr="00E24DBF" w:rsidTr="003937B3">
        <w:tc>
          <w:tcPr>
            <w:tcW w:w="72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28</w:t>
            </w:r>
          </w:p>
        </w:tc>
        <w:tc>
          <w:tcPr>
            <w:tcW w:w="1769"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Db0020181039</w:t>
            </w:r>
          </w:p>
        </w:tc>
        <w:tc>
          <w:tcPr>
            <w:tcW w:w="109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托珠单抗</w:t>
            </w:r>
          </w:p>
        </w:tc>
        <w:tc>
          <w:tcPr>
            <w:tcW w:w="117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雅美罗</w:t>
            </w:r>
          </w:p>
        </w:tc>
        <w:tc>
          <w:tcPr>
            <w:tcW w:w="999" w:type="dxa"/>
            <w:vAlign w:val="center"/>
          </w:tcPr>
          <w:p w:rsidR="009F45F1" w:rsidRPr="006211D1" w:rsidRDefault="009F45F1" w:rsidP="003937B3">
            <w:pPr>
              <w:widowControl/>
              <w:jc w:val="center"/>
              <w:rPr>
                <w:rFonts w:ascii="仿宋" w:eastAsia="仿宋" w:hAnsi="仿宋" w:cs="宋体"/>
                <w:color w:val="000000"/>
                <w:kern w:val="0"/>
                <w:szCs w:val="21"/>
              </w:rPr>
            </w:pPr>
            <w:r w:rsidRPr="006211D1">
              <w:rPr>
                <w:rFonts w:ascii="仿宋" w:eastAsia="仿宋" w:hAnsi="仿宋" w:cs="宋体" w:hint="eastAsia"/>
                <w:color w:val="000000"/>
                <w:kern w:val="0"/>
                <w:szCs w:val="21"/>
              </w:rPr>
              <w:t>注射剂</w:t>
            </w:r>
          </w:p>
        </w:tc>
        <w:tc>
          <w:tcPr>
            <w:tcW w:w="17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Roche Pharma (Schweiz) Ltd</w:t>
            </w:r>
          </w:p>
        </w:tc>
        <w:tc>
          <w:tcPr>
            <w:tcW w:w="1078"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上海罗氏制药有限公司</w:t>
            </w:r>
          </w:p>
        </w:tc>
        <w:tc>
          <w:tcPr>
            <w:tcW w:w="1545"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80mg/4ml/支</w:t>
            </w:r>
          </w:p>
        </w:tc>
        <w:tc>
          <w:tcPr>
            <w:tcW w:w="1417"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1500元/支</w:t>
            </w:r>
          </w:p>
        </w:tc>
        <w:tc>
          <w:tcPr>
            <w:tcW w:w="1491" w:type="dxa"/>
            <w:vAlign w:val="center"/>
          </w:tcPr>
          <w:p w:rsidR="009F45F1" w:rsidRPr="006211D1" w:rsidRDefault="009F45F1" w:rsidP="003937B3">
            <w:pPr>
              <w:widowControl/>
              <w:jc w:val="left"/>
              <w:rPr>
                <w:rFonts w:ascii="仿宋" w:eastAsia="仿宋" w:hAnsi="仿宋" w:cs="宋体"/>
                <w:color w:val="000000"/>
                <w:kern w:val="0"/>
                <w:szCs w:val="21"/>
              </w:rPr>
            </w:pPr>
            <w:r w:rsidRPr="006211D1">
              <w:rPr>
                <w:rFonts w:ascii="仿宋" w:eastAsia="仿宋" w:hAnsi="仿宋" w:cs="宋体" w:hint="eastAsia"/>
                <w:color w:val="000000"/>
                <w:kern w:val="0"/>
                <w:szCs w:val="21"/>
              </w:rPr>
              <w:t>类风湿性关节炎患者：连续使用2次，为其免费供药2次，之后按此循环。幼年特发性关节炎患者：使用4次免费供药4次，之后按“4+4”模式循环。</w:t>
            </w:r>
          </w:p>
        </w:tc>
        <w:tc>
          <w:tcPr>
            <w:tcW w:w="1093" w:type="dxa"/>
            <w:vAlign w:val="center"/>
          </w:tcPr>
          <w:p w:rsidR="009F45F1" w:rsidRPr="006211D1" w:rsidRDefault="009F45F1" w:rsidP="003937B3">
            <w:pPr>
              <w:widowControl/>
              <w:jc w:val="left"/>
              <w:rPr>
                <w:rFonts w:ascii="宋体" w:eastAsia="宋体" w:hAnsi="宋体" w:cs="宋体"/>
                <w:color w:val="000000"/>
                <w:kern w:val="0"/>
                <w:szCs w:val="21"/>
              </w:rPr>
            </w:pPr>
            <w:r w:rsidRPr="006211D1">
              <w:rPr>
                <w:rFonts w:ascii="宋体" w:eastAsia="宋体" w:hAnsi="宋体" w:cs="宋体" w:hint="eastAsia"/>
                <w:color w:val="000000"/>
                <w:kern w:val="0"/>
                <w:szCs w:val="21"/>
              </w:rPr>
              <w:t>老百姓大药房连锁（浙江）</w:t>
            </w:r>
            <w:r w:rsidRPr="006211D1">
              <w:rPr>
                <w:rFonts w:ascii="宋体" w:eastAsia="宋体" w:hAnsi="宋体" w:cs="宋体" w:hint="eastAsia"/>
                <w:color w:val="000000"/>
                <w:kern w:val="0"/>
                <w:szCs w:val="21"/>
              </w:rPr>
              <w:br/>
              <w:t>有限公司衢州店</w:t>
            </w:r>
          </w:p>
        </w:tc>
      </w:tr>
    </w:tbl>
    <w:p w:rsidR="009F45F1" w:rsidRPr="009F45F1" w:rsidRDefault="009F45F1" w:rsidP="00E21A1A">
      <w:pPr>
        <w:pStyle w:val="a3"/>
        <w:shd w:val="clear" w:color="auto" w:fill="FFFFFF"/>
        <w:spacing w:before="0" w:beforeAutospacing="0" w:after="0" w:afterAutospacing="0" w:line="384" w:lineRule="atLeast"/>
        <w:ind w:firstLine="480"/>
        <w:jc w:val="both"/>
        <w:rPr>
          <w:rFonts w:ascii="微软雅黑" w:eastAsia="微软雅黑" w:hAnsi="微软雅黑"/>
          <w:b/>
          <w:spacing w:val="8"/>
          <w:sz w:val="26"/>
          <w:szCs w:val="26"/>
          <w:shd w:val="clear" w:color="auto" w:fill="FFFFFF"/>
        </w:rPr>
      </w:pPr>
    </w:p>
    <w:sectPr w:rsidR="009F45F1" w:rsidRPr="009F45F1" w:rsidSect="006211D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A92" w:rsidRDefault="00B85A92" w:rsidP="00AA271F">
      <w:r>
        <w:separator/>
      </w:r>
    </w:p>
  </w:endnote>
  <w:endnote w:type="continuationSeparator" w:id="0">
    <w:p w:rsidR="00B85A92" w:rsidRDefault="00B85A92" w:rsidP="00AA27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A92" w:rsidRDefault="00B85A92" w:rsidP="00AA271F">
      <w:r>
        <w:separator/>
      </w:r>
    </w:p>
  </w:footnote>
  <w:footnote w:type="continuationSeparator" w:id="0">
    <w:p w:rsidR="00B85A92" w:rsidRDefault="00B85A92" w:rsidP="00AA27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777D"/>
    <w:rsid w:val="00011075"/>
    <w:rsid w:val="00024A89"/>
    <w:rsid w:val="0002501F"/>
    <w:rsid w:val="0002760D"/>
    <w:rsid w:val="00034521"/>
    <w:rsid w:val="00041554"/>
    <w:rsid w:val="000444CB"/>
    <w:rsid w:val="00064437"/>
    <w:rsid w:val="00087918"/>
    <w:rsid w:val="00095029"/>
    <w:rsid w:val="000B5DCF"/>
    <w:rsid w:val="000B7498"/>
    <w:rsid w:val="000D66CF"/>
    <w:rsid w:val="000E2BC9"/>
    <w:rsid w:val="000E4309"/>
    <w:rsid w:val="000F5F73"/>
    <w:rsid w:val="00107B4D"/>
    <w:rsid w:val="00112E28"/>
    <w:rsid w:val="00123700"/>
    <w:rsid w:val="00136132"/>
    <w:rsid w:val="0015475C"/>
    <w:rsid w:val="001557DF"/>
    <w:rsid w:val="00162945"/>
    <w:rsid w:val="00181345"/>
    <w:rsid w:val="0018306B"/>
    <w:rsid w:val="00183D54"/>
    <w:rsid w:val="001B76DC"/>
    <w:rsid w:val="001C789D"/>
    <w:rsid w:val="001D6213"/>
    <w:rsid w:val="001E191D"/>
    <w:rsid w:val="00200716"/>
    <w:rsid w:val="00244507"/>
    <w:rsid w:val="00265869"/>
    <w:rsid w:val="00265CBB"/>
    <w:rsid w:val="00276172"/>
    <w:rsid w:val="0028088D"/>
    <w:rsid w:val="002824C4"/>
    <w:rsid w:val="00287F9B"/>
    <w:rsid w:val="00290D5B"/>
    <w:rsid w:val="002975DC"/>
    <w:rsid w:val="002D6859"/>
    <w:rsid w:val="002E5163"/>
    <w:rsid w:val="002E7D5D"/>
    <w:rsid w:val="002F6970"/>
    <w:rsid w:val="002F7EFC"/>
    <w:rsid w:val="00303FAA"/>
    <w:rsid w:val="00304504"/>
    <w:rsid w:val="00304CA4"/>
    <w:rsid w:val="00317C22"/>
    <w:rsid w:val="003428CC"/>
    <w:rsid w:val="00343309"/>
    <w:rsid w:val="003631EA"/>
    <w:rsid w:val="003632DC"/>
    <w:rsid w:val="00380134"/>
    <w:rsid w:val="0038107C"/>
    <w:rsid w:val="00381313"/>
    <w:rsid w:val="00393196"/>
    <w:rsid w:val="003A4E61"/>
    <w:rsid w:val="003A777D"/>
    <w:rsid w:val="003B1F96"/>
    <w:rsid w:val="003B2199"/>
    <w:rsid w:val="003B5160"/>
    <w:rsid w:val="003B5D5E"/>
    <w:rsid w:val="003D0F52"/>
    <w:rsid w:val="003E48D5"/>
    <w:rsid w:val="003E7A70"/>
    <w:rsid w:val="00414635"/>
    <w:rsid w:val="00417B15"/>
    <w:rsid w:val="0042178C"/>
    <w:rsid w:val="0043365D"/>
    <w:rsid w:val="0043625F"/>
    <w:rsid w:val="00443EBC"/>
    <w:rsid w:val="004527C7"/>
    <w:rsid w:val="00471A7A"/>
    <w:rsid w:val="0048265E"/>
    <w:rsid w:val="004838C9"/>
    <w:rsid w:val="00485A78"/>
    <w:rsid w:val="004C67B7"/>
    <w:rsid w:val="004D4AD3"/>
    <w:rsid w:val="004D6C8D"/>
    <w:rsid w:val="004E1834"/>
    <w:rsid w:val="004E6886"/>
    <w:rsid w:val="00515172"/>
    <w:rsid w:val="005176BC"/>
    <w:rsid w:val="00521218"/>
    <w:rsid w:val="005318A7"/>
    <w:rsid w:val="005319D6"/>
    <w:rsid w:val="00565DB7"/>
    <w:rsid w:val="00575F85"/>
    <w:rsid w:val="0058591A"/>
    <w:rsid w:val="00594B01"/>
    <w:rsid w:val="005A364C"/>
    <w:rsid w:val="005C610D"/>
    <w:rsid w:val="005D0ED7"/>
    <w:rsid w:val="005F44F2"/>
    <w:rsid w:val="006065CF"/>
    <w:rsid w:val="006133FC"/>
    <w:rsid w:val="006134F3"/>
    <w:rsid w:val="00613BA5"/>
    <w:rsid w:val="006158C7"/>
    <w:rsid w:val="006211D1"/>
    <w:rsid w:val="006440F5"/>
    <w:rsid w:val="00645659"/>
    <w:rsid w:val="0065156A"/>
    <w:rsid w:val="00652AD5"/>
    <w:rsid w:val="00652CB6"/>
    <w:rsid w:val="00655170"/>
    <w:rsid w:val="00657E57"/>
    <w:rsid w:val="00665AA3"/>
    <w:rsid w:val="00673BBE"/>
    <w:rsid w:val="006800E4"/>
    <w:rsid w:val="00687C0F"/>
    <w:rsid w:val="006A5C46"/>
    <w:rsid w:val="006B1192"/>
    <w:rsid w:val="006D7975"/>
    <w:rsid w:val="006E535C"/>
    <w:rsid w:val="006F0CB5"/>
    <w:rsid w:val="006F21C4"/>
    <w:rsid w:val="0071657C"/>
    <w:rsid w:val="007212FC"/>
    <w:rsid w:val="00724507"/>
    <w:rsid w:val="0074622E"/>
    <w:rsid w:val="007479D1"/>
    <w:rsid w:val="00751875"/>
    <w:rsid w:val="00753D70"/>
    <w:rsid w:val="00756CCD"/>
    <w:rsid w:val="00766BEF"/>
    <w:rsid w:val="00773418"/>
    <w:rsid w:val="00781E47"/>
    <w:rsid w:val="007908F1"/>
    <w:rsid w:val="00795337"/>
    <w:rsid w:val="007A3C60"/>
    <w:rsid w:val="007A43EE"/>
    <w:rsid w:val="007C4389"/>
    <w:rsid w:val="007D0934"/>
    <w:rsid w:val="007F3CF3"/>
    <w:rsid w:val="00804D8D"/>
    <w:rsid w:val="00806AD4"/>
    <w:rsid w:val="008075F1"/>
    <w:rsid w:val="00812263"/>
    <w:rsid w:val="00820F40"/>
    <w:rsid w:val="00824080"/>
    <w:rsid w:val="008615B2"/>
    <w:rsid w:val="00874EC8"/>
    <w:rsid w:val="008826F2"/>
    <w:rsid w:val="008A3427"/>
    <w:rsid w:val="008B4BC0"/>
    <w:rsid w:val="008C1CD5"/>
    <w:rsid w:val="008C7801"/>
    <w:rsid w:val="008E34D4"/>
    <w:rsid w:val="008F17E3"/>
    <w:rsid w:val="00903C69"/>
    <w:rsid w:val="00915F88"/>
    <w:rsid w:val="00923AB0"/>
    <w:rsid w:val="0092467B"/>
    <w:rsid w:val="00937AE7"/>
    <w:rsid w:val="009432A4"/>
    <w:rsid w:val="00947CE3"/>
    <w:rsid w:val="00951C6B"/>
    <w:rsid w:val="009576F3"/>
    <w:rsid w:val="00972AE6"/>
    <w:rsid w:val="0097754D"/>
    <w:rsid w:val="00977B2F"/>
    <w:rsid w:val="00983EFD"/>
    <w:rsid w:val="0099227A"/>
    <w:rsid w:val="009B563F"/>
    <w:rsid w:val="009B569D"/>
    <w:rsid w:val="009C0BEF"/>
    <w:rsid w:val="009D1D16"/>
    <w:rsid w:val="009D252D"/>
    <w:rsid w:val="009E3968"/>
    <w:rsid w:val="009F45F1"/>
    <w:rsid w:val="00A016E2"/>
    <w:rsid w:val="00A02E4F"/>
    <w:rsid w:val="00A2480C"/>
    <w:rsid w:val="00A362AB"/>
    <w:rsid w:val="00A43B37"/>
    <w:rsid w:val="00A54CDF"/>
    <w:rsid w:val="00A70FC8"/>
    <w:rsid w:val="00A736AF"/>
    <w:rsid w:val="00A9366D"/>
    <w:rsid w:val="00A9620F"/>
    <w:rsid w:val="00AA271F"/>
    <w:rsid w:val="00AA3EEE"/>
    <w:rsid w:val="00AB6E3F"/>
    <w:rsid w:val="00AC3932"/>
    <w:rsid w:val="00AC6EFF"/>
    <w:rsid w:val="00AE7443"/>
    <w:rsid w:val="00AF1009"/>
    <w:rsid w:val="00AF2F63"/>
    <w:rsid w:val="00B00D42"/>
    <w:rsid w:val="00B0197F"/>
    <w:rsid w:val="00B12BAB"/>
    <w:rsid w:val="00B17FBB"/>
    <w:rsid w:val="00B23984"/>
    <w:rsid w:val="00B2572D"/>
    <w:rsid w:val="00B30E13"/>
    <w:rsid w:val="00B41A57"/>
    <w:rsid w:val="00B452C1"/>
    <w:rsid w:val="00B4769D"/>
    <w:rsid w:val="00B520CA"/>
    <w:rsid w:val="00B61149"/>
    <w:rsid w:val="00B81E6E"/>
    <w:rsid w:val="00B831FE"/>
    <w:rsid w:val="00B85A92"/>
    <w:rsid w:val="00B95B3D"/>
    <w:rsid w:val="00BA6F1C"/>
    <w:rsid w:val="00BB0AC9"/>
    <w:rsid w:val="00BB56DB"/>
    <w:rsid w:val="00BC40C6"/>
    <w:rsid w:val="00BE6227"/>
    <w:rsid w:val="00BF035B"/>
    <w:rsid w:val="00BF2380"/>
    <w:rsid w:val="00BF4919"/>
    <w:rsid w:val="00BF7EFE"/>
    <w:rsid w:val="00C212E8"/>
    <w:rsid w:val="00C360CD"/>
    <w:rsid w:val="00C42A01"/>
    <w:rsid w:val="00C44718"/>
    <w:rsid w:val="00C721D3"/>
    <w:rsid w:val="00C72761"/>
    <w:rsid w:val="00C86286"/>
    <w:rsid w:val="00C939DE"/>
    <w:rsid w:val="00C95D9B"/>
    <w:rsid w:val="00CA38CE"/>
    <w:rsid w:val="00CB48DC"/>
    <w:rsid w:val="00CB66CD"/>
    <w:rsid w:val="00CC39C3"/>
    <w:rsid w:val="00CC584E"/>
    <w:rsid w:val="00CC6B92"/>
    <w:rsid w:val="00CD17C2"/>
    <w:rsid w:val="00CD4949"/>
    <w:rsid w:val="00CE28A5"/>
    <w:rsid w:val="00CE3557"/>
    <w:rsid w:val="00CF1720"/>
    <w:rsid w:val="00CF5760"/>
    <w:rsid w:val="00D0321A"/>
    <w:rsid w:val="00D11393"/>
    <w:rsid w:val="00D14395"/>
    <w:rsid w:val="00D2375C"/>
    <w:rsid w:val="00D33CAF"/>
    <w:rsid w:val="00D3405A"/>
    <w:rsid w:val="00D564F4"/>
    <w:rsid w:val="00D70ED7"/>
    <w:rsid w:val="00D71AAD"/>
    <w:rsid w:val="00D8343A"/>
    <w:rsid w:val="00D930C9"/>
    <w:rsid w:val="00D93C06"/>
    <w:rsid w:val="00DA12DB"/>
    <w:rsid w:val="00DB1203"/>
    <w:rsid w:val="00DB3DA9"/>
    <w:rsid w:val="00DB3DCE"/>
    <w:rsid w:val="00DC4E0B"/>
    <w:rsid w:val="00DC5ED6"/>
    <w:rsid w:val="00DD2045"/>
    <w:rsid w:val="00E0637E"/>
    <w:rsid w:val="00E077D9"/>
    <w:rsid w:val="00E21A1A"/>
    <w:rsid w:val="00E24DBF"/>
    <w:rsid w:val="00E4164C"/>
    <w:rsid w:val="00E70D0C"/>
    <w:rsid w:val="00E70DB9"/>
    <w:rsid w:val="00E710D4"/>
    <w:rsid w:val="00E72D8E"/>
    <w:rsid w:val="00EA0E8F"/>
    <w:rsid w:val="00EA0ED5"/>
    <w:rsid w:val="00EB176B"/>
    <w:rsid w:val="00EB7953"/>
    <w:rsid w:val="00EE7542"/>
    <w:rsid w:val="00F0567E"/>
    <w:rsid w:val="00F101D3"/>
    <w:rsid w:val="00F146E7"/>
    <w:rsid w:val="00F22F0B"/>
    <w:rsid w:val="00F5009D"/>
    <w:rsid w:val="00F54051"/>
    <w:rsid w:val="00F600A5"/>
    <w:rsid w:val="00F62C2D"/>
    <w:rsid w:val="00F91BB9"/>
    <w:rsid w:val="00F95212"/>
    <w:rsid w:val="00F969B9"/>
    <w:rsid w:val="00FA7354"/>
    <w:rsid w:val="00FB1221"/>
    <w:rsid w:val="00FC186D"/>
    <w:rsid w:val="00FC7E05"/>
    <w:rsid w:val="00FE420D"/>
    <w:rsid w:val="00FE4C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45"/>
    <w:pPr>
      <w:widowControl w:val="0"/>
      <w:jc w:val="both"/>
    </w:pPr>
  </w:style>
  <w:style w:type="paragraph" w:styleId="2">
    <w:name w:val="heading 2"/>
    <w:basedOn w:val="a"/>
    <w:link w:val="2Char"/>
    <w:uiPriority w:val="9"/>
    <w:qFormat/>
    <w:rsid w:val="00F101D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777D"/>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F101D3"/>
    <w:rPr>
      <w:rFonts w:ascii="宋体" w:eastAsia="宋体" w:hAnsi="宋体" w:cs="宋体"/>
      <w:b/>
      <w:bCs/>
      <w:kern w:val="0"/>
      <w:sz w:val="36"/>
      <w:szCs w:val="36"/>
    </w:rPr>
  </w:style>
  <w:style w:type="paragraph" w:styleId="a4">
    <w:name w:val="Balloon Text"/>
    <w:basedOn w:val="a"/>
    <w:link w:val="Char"/>
    <w:uiPriority w:val="99"/>
    <w:semiHidden/>
    <w:unhideWhenUsed/>
    <w:rsid w:val="006211D1"/>
    <w:rPr>
      <w:sz w:val="18"/>
      <w:szCs w:val="18"/>
    </w:rPr>
  </w:style>
  <w:style w:type="character" w:customStyle="1" w:styleId="Char">
    <w:name w:val="批注框文本 Char"/>
    <w:basedOn w:val="a0"/>
    <w:link w:val="a4"/>
    <w:uiPriority w:val="99"/>
    <w:semiHidden/>
    <w:rsid w:val="006211D1"/>
    <w:rPr>
      <w:sz w:val="18"/>
      <w:szCs w:val="18"/>
    </w:rPr>
  </w:style>
  <w:style w:type="table" w:styleId="a5">
    <w:name w:val="Table Grid"/>
    <w:basedOn w:val="a1"/>
    <w:uiPriority w:val="59"/>
    <w:rsid w:val="00621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AA271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AA271F"/>
    <w:rPr>
      <w:sz w:val="18"/>
      <w:szCs w:val="18"/>
    </w:rPr>
  </w:style>
  <w:style w:type="paragraph" w:styleId="a7">
    <w:name w:val="footer"/>
    <w:basedOn w:val="a"/>
    <w:link w:val="Char1"/>
    <w:uiPriority w:val="99"/>
    <w:semiHidden/>
    <w:unhideWhenUsed/>
    <w:rsid w:val="00AA271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AA271F"/>
    <w:rPr>
      <w:sz w:val="18"/>
      <w:szCs w:val="18"/>
    </w:rPr>
  </w:style>
</w:styles>
</file>

<file path=word/webSettings.xml><?xml version="1.0" encoding="utf-8"?>
<w:webSettings xmlns:r="http://schemas.openxmlformats.org/officeDocument/2006/relationships" xmlns:w="http://schemas.openxmlformats.org/wordprocessingml/2006/main">
  <w:divs>
    <w:div w:id="338431431">
      <w:bodyDiv w:val="1"/>
      <w:marLeft w:val="0"/>
      <w:marRight w:val="0"/>
      <w:marTop w:val="0"/>
      <w:marBottom w:val="0"/>
      <w:divBdr>
        <w:top w:val="none" w:sz="0" w:space="0" w:color="auto"/>
        <w:left w:val="none" w:sz="0" w:space="0" w:color="auto"/>
        <w:bottom w:val="none" w:sz="0" w:space="0" w:color="auto"/>
        <w:right w:val="none" w:sz="0" w:space="0" w:color="auto"/>
      </w:divBdr>
    </w:div>
    <w:div w:id="572814127">
      <w:bodyDiv w:val="1"/>
      <w:marLeft w:val="0"/>
      <w:marRight w:val="0"/>
      <w:marTop w:val="0"/>
      <w:marBottom w:val="0"/>
      <w:divBdr>
        <w:top w:val="none" w:sz="0" w:space="0" w:color="auto"/>
        <w:left w:val="none" w:sz="0" w:space="0" w:color="auto"/>
        <w:bottom w:val="none" w:sz="0" w:space="0" w:color="auto"/>
        <w:right w:val="none" w:sz="0" w:space="0" w:color="auto"/>
      </w:divBdr>
    </w:div>
    <w:div w:id="899513692">
      <w:bodyDiv w:val="1"/>
      <w:marLeft w:val="0"/>
      <w:marRight w:val="0"/>
      <w:marTop w:val="0"/>
      <w:marBottom w:val="0"/>
      <w:divBdr>
        <w:top w:val="none" w:sz="0" w:space="0" w:color="auto"/>
        <w:left w:val="none" w:sz="0" w:space="0" w:color="auto"/>
        <w:bottom w:val="none" w:sz="0" w:space="0" w:color="auto"/>
        <w:right w:val="none" w:sz="0" w:space="0" w:color="auto"/>
      </w:divBdr>
    </w:div>
    <w:div w:id="1389525427">
      <w:bodyDiv w:val="1"/>
      <w:marLeft w:val="0"/>
      <w:marRight w:val="0"/>
      <w:marTop w:val="0"/>
      <w:marBottom w:val="0"/>
      <w:divBdr>
        <w:top w:val="none" w:sz="0" w:space="0" w:color="auto"/>
        <w:left w:val="none" w:sz="0" w:space="0" w:color="auto"/>
        <w:bottom w:val="none" w:sz="0" w:space="0" w:color="auto"/>
        <w:right w:val="none" w:sz="0" w:space="0" w:color="auto"/>
      </w:divBdr>
    </w:div>
    <w:div w:id="17636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15</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邵雪梅</dc:creator>
  <cp:lastModifiedBy>宣联处</cp:lastModifiedBy>
  <cp:revision>10</cp:revision>
  <dcterms:created xsi:type="dcterms:W3CDTF">2018-08-02T00:27:00Z</dcterms:created>
  <dcterms:modified xsi:type="dcterms:W3CDTF">2018-08-21T03:25:00Z</dcterms:modified>
</cp:coreProperties>
</file>