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E6" w:rsidRPr="00D208E6" w:rsidRDefault="00D208E6" w:rsidP="00D208E6">
      <w:pPr>
        <w:widowControl/>
        <w:shd w:val="clear" w:color="auto" w:fill="FFFFFF"/>
        <w:spacing w:before="100" w:beforeAutospacing="1" w:after="100" w:afterAutospacing="1"/>
        <w:jc w:val="center"/>
        <w:outlineLvl w:val="1"/>
        <w:rPr>
          <w:rFonts w:ascii="宋体" w:eastAsia="宋体" w:hAnsi="宋体" w:cs="宋体"/>
          <w:b/>
          <w:bCs/>
          <w:color w:val="1F5781"/>
          <w:kern w:val="0"/>
          <w:sz w:val="28"/>
          <w:szCs w:val="28"/>
        </w:rPr>
      </w:pPr>
      <w:r w:rsidRPr="00D208E6">
        <w:rPr>
          <w:rFonts w:ascii="宋体" w:eastAsia="宋体" w:hAnsi="宋体" w:cs="宋体"/>
          <w:b/>
          <w:bCs/>
          <w:color w:val="1F5781"/>
          <w:kern w:val="0"/>
          <w:sz w:val="28"/>
          <w:szCs w:val="28"/>
        </w:rPr>
        <w:t xml:space="preserve">党政机关厉行节约反对浪费条例　 </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楷体" w:eastAsia="楷体" w:hAnsi="楷体" w:cs="宋体"/>
          <w:color w:val="000000"/>
          <w:kern w:val="0"/>
          <w:sz w:val="28"/>
          <w:szCs w:val="28"/>
        </w:rPr>
        <w:t>（2013年10月29日）</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第一章　总　则</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第一条　为了进一步弘扬艰苦奋斗、勤俭节约的优良作风，推进党政机关厉行节约反对浪费，建设节约型机关，根据国家有关法律法规和中央有关规定，制定本条例。</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第二条　本条例适用于党的机关、人大机关、行政机关、政协机关、审判机关、检察机关，以及工会、共青团、妇联等人民团体和参照公务员法管理的事业单位。</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第三条　本条例所称浪费，是指党政机关及其工作人员违反规定进行不必要的公务活动，或者在履行公务中超出规定范围、标准和要求，不当使用公共资金、资产和资源，给国家和社会造成损失的行为。</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第五条　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纪检监察机关和组织人事、宣传、外事、发展改革、财政、审计、机关事务管理等部门根据职责分工，依法依规履行对厉行节约反对浪费相关工作的管理、监督等职责。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第六条　各级党委和政府应当加强对厉行节约反对浪费工作的组织领导。党政机关领导班子主要负责人对本地区、本部门、本单位的厉行节约反对浪费工作负总责，其他成员根据工作分工，对职责范围内的厉行节约反对浪费工作负主要领导责任。</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第二章　经费管理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第七条　党政机关应当加强预算编制管理，按照综合预算的要求，将各项收入和支出全部纳入部门预算。</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第八条　党政机关应当遵循先有预算、后有支出的原则，严格执行预算，严禁超预算或者无预算安排支出，严禁虚列支出、转移或者套取预算资金。</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严格控制国内差旅费、因公临时出国（境）费、公务接待费、公务用车购置及运行费、会议费、培训费等支出。年度预算执行中不予追加，因特殊需要确需追加的，由财政部门审核后按程序报批。</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建立预算执行全过程动态监控机制，完善预算执行管理办法，建立健全预算绩效管理体系，增强预算执行的严肃性，提高预算执行的准确率，防止年底突击花钱等现象发生。</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第九条　推进政府会计改革，进一步健全会计制度，准确核算机关运行经费，全面反映行政成本。</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第十条　财政部门应当会同有关部门，根据国内差旅、因公临时出国（境）、公务接待、会议、培训等工作特点，综合考虑经济发展水平、有关货物和服务的市场价格水平，制定分地区的公务活动经费开支范围和开支标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加强相关开支标准之间的衔接，建立开支标准调整机制，定期根据有关货物和服务的市场价格变动情况调整相关开支标准，增强开支标准的协调性、规范性、科学性。</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严格开支范围和标准，严格支出报销审核，不得报销任何超范围、超标</w:t>
      </w:r>
      <w:proofErr w:type="gramStart"/>
      <w:r w:rsidRPr="00D208E6">
        <w:rPr>
          <w:rFonts w:ascii="宋体" w:eastAsia="宋体" w:hAnsi="宋体" w:cs="宋体"/>
          <w:color w:val="000000"/>
          <w:kern w:val="0"/>
          <w:sz w:val="28"/>
          <w:szCs w:val="28"/>
        </w:rPr>
        <w:t>准以及</w:t>
      </w:r>
      <w:proofErr w:type="gramEnd"/>
      <w:r w:rsidRPr="00D208E6">
        <w:rPr>
          <w:rFonts w:ascii="宋体" w:eastAsia="宋体" w:hAnsi="宋体" w:cs="宋体"/>
          <w:color w:val="000000"/>
          <w:kern w:val="0"/>
          <w:sz w:val="28"/>
          <w:szCs w:val="28"/>
        </w:rPr>
        <w:t>与相关公务活动无关的费用。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第十一条　全面实行公务卡制度。健全公务卡强制结算目录，党政机关国内发生的公务差旅费、公务接待费、公务用车购置及运行费、会议费、培训费等经费支出，除按规定实行财政直接支付或者银行转账外，应当使用公务卡结算。</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第十二条　党政机关采购货物、工程和服务，应当遵循公开透明、公平竞争、诚实信用原则。</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政府采购应当依法完整编制采购预算，严格执行经费预算和资产配置标准，合理确定采购需求，不得超标准采购，不得超出办公需要采购服务。</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党政机关应当按照政府采购合同规定的采购需求组织验收。政府采购监督管理部门应当逐步建立政府采购结果评价制度，对政府采购的资金节约、政策效能、透明程度以及专业化水平进行综合、客观评价。</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加快政府采购管理交易平台建设，推进电子化政府采购。</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第三章　国内差旅和因公临时出国（境）</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第十三条　党政机关应当建立健全并严格执行国内差旅内部审批制度，从严控制国内差旅人数和天数，严禁无明确公务目的的差旅活动，严禁以公务差旅为名变相旅游，严禁异地部门间无实质内容的学习交流和考察调研。</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第十四条　国内差旅人员应当严格按规定乘坐交通工具、住宿、就餐，费用由所在单位承担。</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差旅人员住宿、就餐由接待单位协助安排的，必须按标准交纳住宿费、餐费。差旅人员不得向接待单位提出正常公务活动以外的要求，不得接受礼金、礼品和土特产品等。</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第十五条　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组织、外专等有关部门应当加强出国培训总体规划和监督管理，严格控制出国培训规模，科学设置培训项目，择优选派培训对象，提高出国培训的质量和实效。</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第十六条　外事管理部门应当加强因公临时出国审核审批管理，对违反规定、不适合成行的团组予以调整或者取消。</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第十七条　出国团组应当按规定标准安排交通工具和食宿，不得违反规定乘坐民航包机，不得乘坐私人、企业和外国航空公司包机，</w:t>
      </w:r>
      <w:r w:rsidRPr="00D208E6">
        <w:rPr>
          <w:rFonts w:ascii="宋体" w:eastAsia="宋体" w:hAnsi="宋体" w:cs="宋体"/>
          <w:color w:val="000000"/>
          <w:kern w:val="0"/>
          <w:sz w:val="28"/>
          <w:szCs w:val="28"/>
        </w:rPr>
        <w:lastRenderedPageBreak/>
        <w:t>不得安排超标准住房和用车，不得擅自增加出访国家或者地区，不得擅自绕道旅行，不得擅自延长在国外停留时间。</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出国期间，不得与我国驻外机构和其他中资机构、企业之间用公款互赠礼</w:t>
      </w:r>
      <w:proofErr w:type="gramStart"/>
      <w:r w:rsidRPr="00D208E6">
        <w:rPr>
          <w:rFonts w:ascii="宋体" w:eastAsia="宋体" w:hAnsi="宋体" w:cs="宋体"/>
          <w:color w:val="000000"/>
          <w:kern w:val="0"/>
          <w:sz w:val="28"/>
          <w:szCs w:val="28"/>
        </w:rPr>
        <w:t>品或者</w:t>
      </w:r>
      <w:proofErr w:type="gramEnd"/>
      <w:r w:rsidRPr="00D208E6">
        <w:rPr>
          <w:rFonts w:ascii="宋体" w:eastAsia="宋体" w:hAnsi="宋体" w:cs="宋体"/>
          <w:color w:val="000000"/>
          <w:kern w:val="0"/>
          <w:sz w:val="28"/>
          <w:szCs w:val="28"/>
        </w:rPr>
        <w:t>纪念品，</w:t>
      </w:r>
      <w:proofErr w:type="gramStart"/>
      <w:r w:rsidRPr="00D208E6">
        <w:rPr>
          <w:rFonts w:ascii="宋体" w:eastAsia="宋体" w:hAnsi="宋体" w:cs="宋体"/>
          <w:color w:val="000000"/>
          <w:kern w:val="0"/>
          <w:sz w:val="28"/>
          <w:szCs w:val="28"/>
        </w:rPr>
        <w:t>不</w:t>
      </w:r>
      <w:proofErr w:type="gramEnd"/>
      <w:r w:rsidRPr="00D208E6">
        <w:rPr>
          <w:rFonts w:ascii="宋体" w:eastAsia="宋体" w:hAnsi="宋体" w:cs="宋体"/>
          <w:color w:val="000000"/>
          <w:kern w:val="0"/>
          <w:sz w:val="28"/>
          <w:szCs w:val="28"/>
        </w:rPr>
        <w:t>得用公款相互宴请。</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第十八条　严格根据工作需要编制出境计划，加强因公出境审批和管理，不得安排出境考察，不得组织无实质内容的调研、会议、培训等活动。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严格遵守因公出境经费预算、支出、使用、核算等财务制度，不得接受超标准接待和高消费娱乐，不得接受礼金、贵重礼品、有价证券、支付凭证等。</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第四章　公务接待</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第十九条　建立健全国内公务接待集中管理制度。党政机关公务接待管理部门应当加强对国内公务接待工作的管理和指导。</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第二十条　党政机关应当建立公务接待审批控制制度，对无公函的公务活动不予接待，严禁将非公务活动纳入接待范围。</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第二十一条　党政机关应当严格执行国内公务接待标准，实行接待费支出总额控制制度。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接待单位应当严格按标准安排接待对象的住宿用房，协助安排用餐的按标准收取餐费，不得在接待费中列支应当由接待对象承担的费用，不得以举办会议、培训等名义列支、转移、隐匿接待费开支。</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建立国内公务接待清单制度，如实反映接待对象、公务活动、接待费用等情况。接待清单作为财务报销的凭证之一并接受审计。</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第二十二条　外宾接待工作应当遵循服务外交、友好对等、务实节俭的原则。外宾邀请单位应当严格按照有关规定安排接待活动，从严从紧控制外宾团组和接待费用。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第二十三条　有关部门和地方应当参照国内公务接待标准，制定招商引资等活动的接待办法，严格审批，强化管理，严禁超规格、超标准接待，严禁扩大接待范围、增加接待项目，严禁以招商引资等名义变相安排公务接待。</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第二十四条　党政机关不得以任何名义新建、改建、扩建所属宾馆、招待所等具有接待功能的设施或者场所。</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建立接待资源共享机制，推进机关所属接待、培训场所的集中统一管理和利用。健全服务经营机制，推行机关所属接待、培训场所企业化管理，降低服务经营成本。</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积极推进国内公务接待服务社会化改革，有效利用社会资源为国内公务接待提供住宿、餐饮、用车等服务。</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第五章　公务用车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第二十五条　坚持社会化、市场化方向，改革公务用车制度，合理有效配置公务用车资源，创新公务交通分类提供方式，保障公务出行，降低行政成本，建立符合国情的新型公务用车制度。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适度发放公务交通补贴，不得以车改补贴的名义变相发放福利。</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第二十六条　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严格按规定配备专车，不得擅自扩大专车配备范围或者变相配备专车。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从严控制执法执勤用车的配备范围、编制和标准。执法执勤用车配备应当严格限制在一线执法执勤岗位，机关内部管理和后勤岗位以及机关所属事业单位一律不得配备。</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第二十七条　公务用车实行政府集中采购，应当选用国产汽车，优先选用新能源汽车。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公务用车严格按照规定年限更新，已到更新年限尚能继续使用的应当继续使用，不得因领导干部职务晋升、调任等原因提前更新。</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公务用车保险、维修、加油等实行政府采购，降低运行成本。</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第二十八条　除涉及国家安全、侦查办案等有保密要求的特殊工作用车外，执法执勤用车应当喷涂明显的统一标识。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第二十九条　根据公务活动需要，严格按规定使用公务用车，严禁以任何理由挪用或者固定给个人使用执法执勤、机要通信等公务用车，领导干部亲属和身边工作人员不得因私使用配备给领导干部的公务用车。</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第六章　会议活动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第三十条　党政机关应当精简会议，严格执行会议费开支范围和标准。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第三十一条　会议召开场所实行政府采购定点管理。会议住宿用房以标准间为主，用餐安排自助餐或者工作餐。</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会议期间，不得安排宴请，不得组织旅游以及与会议无关的参观活动，不得以任何名义发放纪念品。</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完善会议费报销制度。未经批准以及超范围、超标准开支的会议费用，一律不予报销。严禁违规使用会议费购置办公设备，严禁列支公务接待费等与会议无关的任何费用，严禁套取会议资金。</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第三十二条　建立健全培训审批制度，严格控制培训数量、时间、规模，严禁以培训名义召开会议。</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严格执行分类培训经费开支标准，严格控制培训经费支出范围，严禁在培训经费中列支公务接待费、会议费等与培训无关的任何费用。严禁以培训名义进行公款宴请、公款旅游活动。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第三十三条　未经批准，党政机关不得以公祭、历史文化、特色物产、单位成立、行政区划变更、工程奠基或者竣工等名义举办或者委托、指派其他单位举办各类节会、庆典活动，不得举办论坛、博览</w:t>
      </w:r>
      <w:r w:rsidRPr="00D208E6">
        <w:rPr>
          <w:rFonts w:ascii="宋体" w:eastAsia="宋体" w:hAnsi="宋体" w:cs="宋体"/>
          <w:color w:val="000000"/>
          <w:kern w:val="0"/>
          <w:sz w:val="28"/>
          <w:szCs w:val="28"/>
        </w:rPr>
        <w:lastRenderedPageBreak/>
        <w:t>会、展会活动。严禁使用财政性资金举办营业性文艺晚会。从严控制举办大型综合性运动会和各类赛会。</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第三十四条　严格控制和规范各类评比达标表彰活动，实行中央和省（自治区、直辖市）两级审批制度。评比达标表彰项目费用由举办单位承担，不得以任何方式向相关单位和个人收取费用。</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第七章　办公用房</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第三十五条　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第三十六条　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第三十七条　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第三十八条　党政机关办公用房建设项目投资，统一由政府预算建设资金安排。土地收益和资产转让收益应当按照有关规定实行收支两条线管理，不得直接用于办公用房建设。</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党政机关办公用房维修改造项目所需投资，统一列入预算由财政资金安排解决，未经审批的项目不得安排预算。</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第三十九条　办公用房建设应当严格执行工程招投标和政府采购有关规定，加强对工程项目的全过程监理和审计监督。加快推行办公用房建设项目代建制。</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第四十条　建立健全办公用房集中统一管理制度，对办公用房实行统一调配、统一权属登记。</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党政机关应当严格按照有关标准和本单位“三定”方案，从严核定、使用办公用房。超标部分应当移交同级机关事务管理部门用于统一调剂。</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新建、调整办公用房的单位，应当按照“建新交旧”、“调新交旧”的原则，在搬入新建或者新调整办公用房的同时，将原办公用房腾退移交机关事务管理部门统一调剂使用。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第四十一条　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第八章　资源节约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第四十二条　党政机关应当节约集约利用资源，加强全过程节约管理，提高能源、水、粮食、办公家具、办公设备、办公用品等的利用效率和效益，统筹利用土地，杜绝浪费行为。</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第四十三条　对能源、水的使用实行分类定额和目标责任管理。推广应用节能技术产品，淘汰高耗能设施设备，重点推广应用新能源和可再生能源。积极使用节水型器具，建设节水型单位。</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健全节能产品政府采购政策，严格执行节能产品政府强制采购和优先采购制度。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第四十四条　优化办公家具、办公设备等资产的配置和使用，通过调剂方式盘活存量资产，节约购置资金。已到更新年限尚能继续使用的，不得报废处置。</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对产生的非涉密废纸、废弃电器电子产品等废旧物品进行集中回收处理，促进循环利用；涉及国家秘密的，按照有关保密规定进行销毁。</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第四十五条　党政机关政务信息系统建设应当统筹规划，统一组织实施，防止重复建设和频繁升级。</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建立共享共用机制，加强资源整合，推动重要政务信息系统互联互通、信息共享和业务协同，降低软件开发、系统维护和升级等方面费用，防止资源浪费。</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积极利用信息化手段，推行无纸化办公，减少一次性办公用品消耗。</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第九章　宣传教育</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第四十六条　宣传部门应当把厉行节约反对浪费作为重要宣传内容，充分发挥各级各类媒体作用，重视运用互联网等新兴媒体，通过新闻报道、文化作品、公益广告等形式，广泛宣传中华民族勤俭节</w:t>
      </w:r>
      <w:r w:rsidRPr="00D208E6">
        <w:rPr>
          <w:rFonts w:ascii="宋体" w:eastAsia="宋体" w:hAnsi="宋体" w:cs="宋体"/>
          <w:color w:val="000000"/>
          <w:kern w:val="0"/>
          <w:sz w:val="28"/>
          <w:szCs w:val="28"/>
        </w:rPr>
        <w:lastRenderedPageBreak/>
        <w:t>约的优秀品德，宣传阐释相关制度规定，宣传推广厉行节约的经验做法和先进典型，倡导绿色低碳消费理念和健康文明生活方式。</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第四十七条　党政机关应当把加强厉行节约反对浪费教育作为作风建设的重要内容，融入干部队伍建设和机关日常管理之中，建立健全常态化工作机制。对各种铺张浪费现象和行为，应当严肃批评、督促改正。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纪检监察机关应当不定期曝光铺张浪费的典型案例，发挥警示教育作用。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组织人事部门和党校、行政学院、干部学院应当把厉行节约反对浪费作为干部教育培训的重要内容，创新教育方法，切实增强教育培训的针对性和实效性。</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第四十八条　党政机关应当围绕建设节约型机关，组织开展形式多样、便于参与的活动，引导干部职工增强节约意识、珍惜物力财力，积极培育和形成崇尚节约、厉行节约、反对浪费的机关文化，为在全社会形成节俭之</w:t>
      </w:r>
      <w:proofErr w:type="gramStart"/>
      <w:r w:rsidRPr="00D208E6">
        <w:rPr>
          <w:rFonts w:ascii="宋体" w:eastAsia="宋体" w:hAnsi="宋体" w:cs="宋体"/>
          <w:color w:val="000000"/>
          <w:kern w:val="0"/>
          <w:sz w:val="28"/>
          <w:szCs w:val="28"/>
        </w:rPr>
        <w:t>风发挥</w:t>
      </w:r>
      <w:proofErr w:type="gramEnd"/>
      <w:r w:rsidRPr="00D208E6">
        <w:rPr>
          <w:rFonts w:ascii="宋体" w:eastAsia="宋体" w:hAnsi="宋体" w:cs="宋体"/>
          <w:color w:val="000000"/>
          <w:kern w:val="0"/>
          <w:sz w:val="28"/>
          <w:szCs w:val="28"/>
        </w:rPr>
        <w:t>示范表率作用。</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第十章　监督检查</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第四十九条　各级党委和政府应当建立厉行节约反对浪费监督检查机制，明确监督检查的主体、职责、内容、方法、程序等，加强经常性督促检查，针对突出问题开展重点检查、暗访等专项活动。</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下级党委和政府应当每年向上级党委和政府报告本地区厉行节约反对浪费工作情况，党委和政府所属部门、单位应当每年向本级党</w:t>
      </w:r>
      <w:r w:rsidRPr="00D208E6">
        <w:rPr>
          <w:rFonts w:ascii="宋体" w:eastAsia="宋体" w:hAnsi="宋体" w:cs="宋体"/>
          <w:color w:val="000000"/>
          <w:kern w:val="0"/>
          <w:sz w:val="28"/>
          <w:szCs w:val="28"/>
        </w:rPr>
        <w:lastRenderedPageBreak/>
        <w:t>委和政府报告本部门、本单位厉行节约反对浪费工作情况。报告可结合领导班子年度考核和工作报告一并进行。</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第五十条　领导干部厉行节约反对浪费工作情况，应当列为领导班子民主生活会和领导干部述职述廉的重要内容并接受评议。</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第五十一条　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第五十二条　纪检监察机关应当加强对厉行节约反对浪费工作的监督检查，受理群众举报和有关部门移送的案件线索，及时查处违纪违法问题。</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中央和省、自治区、直辖市党委巡视组应当按照有关规定，加强对有关党组织领导班子及其成员厉行节约反对浪费工作情况的巡视监督。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第五十三条　财政部门应当加强对党政机关预算编制、执行等财政、财务、政府采购和会计事项的监督检查，依法处理发现的违规问题，并及时向本级党委和政府汇报监督检查结果。</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审计部门应当加大对党政机关公务支出和公款消费的审计力度，依法处理、督促整改违规问题，并将涉嫌违纪违法问题移送有关部门查处。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第五十四条　党政机关应当建立健全厉行节约反对浪费信息公开制度。除依照法律法规和有关要求须保密的内容和事项外，下列内容应当按照及时、方便、多样的原则，以适当方式进行公开：</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（一）预算和决算信息；</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（二）政府采购文件、采购预算、中标成交结果、采购合同等情况；</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（三）国内公务接待的批次、人数、经费总额等情况；</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（四）会议的名称、主要内容、支出金额等情况；</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（五）培训的项目、内容、人数、经费等情况；</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（六）节会、庆典、论坛、博览会、展会、运动会、赛会等活动举办信息；</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（七）办公用房建设、维修改造、使用、运行费用支出等情况；</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（八）公务支出和公款消费的审计结果；</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（九）其他需要公开的内容。</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第五十五条　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支持人民政协对党政机关厉行节约反对浪费工作的监督，自觉接受并积极支持政协委员通过调研、视察、提案等方式加强对党政机关厉行节约反对浪费工作的监督。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第五十六条　重视各级各类媒体在厉行节约反对浪费方面的舆论监督作用。建立舆情反馈机制，及时调查处理媒体曝光的违规违纪违法问题。</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发挥群众对党政机关及其工作人员铺张浪费行为的监督作用，认真调查处理群众反映的问题。</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第十一章　责任追究</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第五十七条　建立党政机关厉行节约反对浪费工作责任追究制度。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对违反本条例规定造成浪费的，应当依纪依法追究相关人员的责任，对负有领导责任的主要负责人或者有关领导干部</w:t>
      </w:r>
      <w:proofErr w:type="gramStart"/>
      <w:r w:rsidRPr="00D208E6">
        <w:rPr>
          <w:rFonts w:ascii="宋体" w:eastAsia="宋体" w:hAnsi="宋体" w:cs="宋体"/>
          <w:color w:val="000000"/>
          <w:kern w:val="0"/>
          <w:sz w:val="28"/>
          <w:szCs w:val="28"/>
        </w:rPr>
        <w:t>实行问</w:t>
      </w:r>
      <w:proofErr w:type="gramEnd"/>
      <w:r w:rsidRPr="00D208E6">
        <w:rPr>
          <w:rFonts w:ascii="宋体" w:eastAsia="宋体" w:hAnsi="宋体" w:cs="宋体"/>
          <w:color w:val="000000"/>
          <w:kern w:val="0"/>
          <w:sz w:val="28"/>
          <w:szCs w:val="28"/>
        </w:rPr>
        <w:t>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第五十八条　有下列情形之一的，追究相关人员的责任：</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（一）未经审批列支财政性资金的；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（二）采取弄虚作假等手段违规取得审批的；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（三）违反审批要求擅自变通执行的；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（四）违反管理规定超标</w:t>
      </w:r>
      <w:proofErr w:type="gramStart"/>
      <w:r w:rsidRPr="00D208E6">
        <w:rPr>
          <w:rFonts w:ascii="宋体" w:eastAsia="宋体" w:hAnsi="宋体" w:cs="宋体"/>
          <w:color w:val="000000"/>
          <w:kern w:val="0"/>
          <w:sz w:val="28"/>
          <w:szCs w:val="28"/>
        </w:rPr>
        <w:t>准或者</w:t>
      </w:r>
      <w:proofErr w:type="gramEnd"/>
      <w:r w:rsidRPr="00D208E6">
        <w:rPr>
          <w:rFonts w:ascii="宋体" w:eastAsia="宋体" w:hAnsi="宋体" w:cs="宋体"/>
          <w:color w:val="000000"/>
          <w:kern w:val="0"/>
          <w:sz w:val="28"/>
          <w:szCs w:val="28"/>
        </w:rPr>
        <w:t>以虚假事项开支的；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（五）利用职务便利假公济私的；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（六）有其他违反审批、管理、监督规定行为的。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第五十九条　有下列情形之一的，追究主要负责人或者有关领导干部的责任：</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（一）本地区、本部门、本单位铺张浪费、奢侈奢华问题严重，对发现的问题查处不力，干部群众反映强烈的；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（二）指使、纵容下属单位或者人员违反本条例规定造成浪费的；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（三）不履行内部审批、管理、监督职责造成浪费的；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（四）不按规定及时公开本地区、本部门、本单位有关厉行节约反对浪费工作信息的；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（五）其他对铺张浪费问题负有领导责任的。</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第六十条　违反本条例规定造成浪费的，根据情节轻重，由有关部门依照职责权限给予批评教育、责令</w:t>
      </w:r>
      <w:proofErr w:type="gramStart"/>
      <w:r w:rsidRPr="00D208E6">
        <w:rPr>
          <w:rFonts w:ascii="宋体" w:eastAsia="宋体" w:hAnsi="宋体" w:cs="宋体"/>
          <w:color w:val="000000"/>
          <w:kern w:val="0"/>
          <w:sz w:val="28"/>
          <w:szCs w:val="28"/>
        </w:rPr>
        <w:t>作出</w:t>
      </w:r>
      <w:proofErr w:type="gramEnd"/>
      <w:r w:rsidRPr="00D208E6">
        <w:rPr>
          <w:rFonts w:ascii="宋体" w:eastAsia="宋体" w:hAnsi="宋体" w:cs="宋体"/>
          <w:color w:val="000000"/>
          <w:kern w:val="0"/>
          <w:sz w:val="28"/>
          <w:szCs w:val="28"/>
        </w:rPr>
        <w:t>检查、诫勉谈话、通报批评或者调离岗位、责令辞职、免职、降职等处理。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应当追究党纪政纪责任的，依照《中国共产党纪律处分条例》、《行政机关公务员处分条例》等有关规定给予相应的党纪政纪处分。</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涉嫌违法犯罪的，依法追究法律责任。</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第六十一条　违反本条例规定获得的经济利益，应当予以收缴或者纠正。</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违反本条例规定，用公款支付、报销应由个人支付的费用，应当责令退赔。</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第六十二条　受到责任追究的人员对处理决定不服的，可以按照相关规定向有关机关提出申诉。受理申诉机关应当依据有关规定认真受理并</w:t>
      </w:r>
      <w:proofErr w:type="gramStart"/>
      <w:r w:rsidRPr="00D208E6">
        <w:rPr>
          <w:rFonts w:ascii="宋体" w:eastAsia="宋体" w:hAnsi="宋体" w:cs="宋体"/>
          <w:color w:val="000000"/>
          <w:kern w:val="0"/>
          <w:sz w:val="28"/>
          <w:szCs w:val="28"/>
        </w:rPr>
        <w:t>作出</w:t>
      </w:r>
      <w:proofErr w:type="gramEnd"/>
      <w:r w:rsidRPr="00D208E6">
        <w:rPr>
          <w:rFonts w:ascii="宋体" w:eastAsia="宋体" w:hAnsi="宋体" w:cs="宋体"/>
          <w:color w:val="000000"/>
          <w:kern w:val="0"/>
          <w:sz w:val="28"/>
          <w:szCs w:val="28"/>
        </w:rPr>
        <w:t>结论。</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申诉期间，不停止处理决定的执行。</w:t>
      </w:r>
    </w:p>
    <w:p w:rsidR="00D208E6" w:rsidRPr="00D208E6" w:rsidRDefault="00D208E6" w:rsidP="00D208E6">
      <w:pPr>
        <w:widowControl/>
        <w:shd w:val="clear" w:color="auto" w:fill="FFFFFF"/>
        <w:spacing w:line="480" w:lineRule="auto"/>
        <w:jc w:val="center"/>
        <w:rPr>
          <w:rFonts w:ascii="宋体" w:eastAsia="宋体" w:hAnsi="宋体" w:cs="宋体"/>
          <w:color w:val="000000"/>
          <w:kern w:val="0"/>
          <w:sz w:val="28"/>
          <w:szCs w:val="28"/>
        </w:rPr>
      </w:pPr>
      <w:r w:rsidRPr="00D208E6">
        <w:rPr>
          <w:rFonts w:ascii="黑体" w:eastAsia="黑体" w:hAnsi="黑体" w:cs="宋体"/>
          <w:color w:val="000000"/>
          <w:kern w:val="0"/>
          <w:sz w:val="28"/>
          <w:szCs w:val="28"/>
        </w:rPr>
        <w:t>第十二章　附　则</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第六十三条　各省、自治区、直辖市党委和政府，中央和国家机关各部委，可以根据本条例，结合实际制定实施细则。有关职能部门应当根据各自职责，制定完善相关配套制度。</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lastRenderedPageBreak/>
        <w:t xml:space="preserve">　　国有企业、国有金融企业、不参照公务员法管理的事业单位，参照本条例执行。</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中国人民解放军和中国人民武装警察部队按照军队有关规定执行。</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第六十四条　本条例由中共中央办公厅、国务院办公厅会同有关部门负责解释。</w:t>
      </w:r>
    </w:p>
    <w:p w:rsidR="00D208E6" w:rsidRPr="00D208E6" w:rsidRDefault="00D208E6" w:rsidP="00D208E6">
      <w:pPr>
        <w:widowControl/>
        <w:shd w:val="clear" w:color="auto" w:fill="FFFFFF"/>
        <w:spacing w:line="480" w:lineRule="auto"/>
        <w:jc w:val="left"/>
        <w:rPr>
          <w:rFonts w:ascii="宋体" w:eastAsia="宋体" w:hAnsi="宋体" w:cs="宋体"/>
          <w:color w:val="000000"/>
          <w:kern w:val="0"/>
          <w:sz w:val="28"/>
          <w:szCs w:val="28"/>
        </w:rPr>
      </w:pPr>
      <w:r w:rsidRPr="00D208E6">
        <w:rPr>
          <w:rFonts w:ascii="宋体" w:eastAsia="宋体" w:hAnsi="宋体" w:cs="宋体"/>
          <w:color w:val="000000"/>
          <w:kern w:val="0"/>
          <w:sz w:val="28"/>
          <w:szCs w:val="28"/>
        </w:rPr>
        <w:t xml:space="preserve">　　第六十五条　本条例自发布之日起施行。1997年5月25日发布的《中共中央、国务院关于党政机关厉行节约制止奢侈浪费行为的若干规定》同时废止。其他有关党政机关厉行节约反对浪费的规定，凡与本条例不一致的，按照本条例执行。</w:t>
      </w:r>
    </w:p>
    <w:p w:rsidR="00880598" w:rsidRPr="00D208E6" w:rsidRDefault="00880598"/>
    <w:sectPr w:rsidR="00880598" w:rsidRPr="00D208E6" w:rsidSect="008805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8E6"/>
    <w:rsid w:val="00880598"/>
    <w:rsid w:val="00D20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98"/>
    <w:pPr>
      <w:widowControl w:val="0"/>
      <w:jc w:val="both"/>
    </w:pPr>
  </w:style>
  <w:style w:type="paragraph" w:styleId="2">
    <w:name w:val="heading 2"/>
    <w:basedOn w:val="a"/>
    <w:link w:val="2Char"/>
    <w:uiPriority w:val="9"/>
    <w:qFormat/>
    <w:rsid w:val="00D208E6"/>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D208E6"/>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08E6"/>
    <w:rPr>
      <w:rFonts w:ascii="宋体" w:eastAsia="宋体" w:hAnsi="宋体" w:cs="宋体"/>
      <w:kern w:val="0"/>
      <w:sz w:val="36"/>
      <w:szCs w:val="36"/>
    </w:rPr>
  </w:style>
  <w:style w:type="character" w:customStyle="1" w:styleId="3Char">
    <w:name w:val="标题 3 Char"/>
    <w:basedOn w:val="a0"/>
    <w:link w:val="3"/>
    <w:uiPriority w:val="9"/>
    <w:rsid w:val="00D208E6"/>
    <w:rPr>
      <w:rFonts w:ascii="宋体" w:eastAsia="宋体" w:hAnsi="宋体" w:cs="宋体"/>
      <w:kern w:val="0"/>
      <w:sz w:val="27"/>
      <w:szCs w:val="27"/>
    </w:rPr>
  </w:style>
</w:styles>
</file>

<file path=word/webSettings.xml><?xml version="1.0" encoding="utf-8"?>
<w:webSettings xmlns:r="http://schemas.openxmlformats.org/officeDocument/2006/relationships" xmlns:w="http://schemas.openxmlformats.org/wordprocessingml/2006/main">
  <w:divs>
    <w:div w:id="1177689920">
      <w:bodyDiv w:val="1"/>
      <w:marLeft w:val="0"/>
      <w:marRight w:val="0"/>
      <w:marTop w:val="0"/>
      <w:marBottom w:val="0"/>
      <w:divBdr>
        <w:top w:val="none" w:sz="0" w:space="0" w:color="auto"/>
        <w:left w:val="none" w:sz="0" w:space="0" w:color="auto"/>
        <w:bottom w:val="none" w:sz="0" w:space="0" w:color="auto"/>
        <w:right w:val="none" w:sz="0" w:space="0" w:color="auto"/>
      </w:divBdr>
      <w:divsChild>
        <w:div w:id="278417395">
          <w:marLeft w:val="0"/>
          <w:marRight w:val="0"/>
          <w:marTop w:val="0"/>
          <w:marBottom w:val="0"/>
          <w:divBdr>
            <w:top w:val="none" w:sz="0" w:space="0" w:color="auto"/>
            <w:left w:val="none" w:sz="0" w:space="0" w:color="auto"/>
            <w:bottom w:val="none" w:sz="0" w:space="0" w:color="auto"/>
            <w:right w:val="none" w:sz="0" w:space="0" w:color="auto"/>
          </w:divBdr>
          <w:divsChild>
            <w:div w:id="839735386">
              <w:marLeft w:val="0"/>
              <w:marRight w:val="0"/>
              <w:marTop w:val="0"/>
              <w:marBottom w:val="0"/>
              <w:divBdr>
                <w:top w:val="none" w:sz="0" w:space="0" w:color="auto"/>
                <w:left w:val="none" w:sz="0" w:space="0" w:color="auto"/>
                <w:bottom w:val="none" w:sz="0" w:space="0" w:color="auto"/>
                <w:right w:val="none" w:sz="0" w:space="0" w:color="auto"/>
              </w:divBdr>
              <w:divsChild>
                <w:div w:id="621812035">
                  <w:marLeft w:val="0"/>
                  <w:marRight w:val="0"/>
                  <w:marTop w:val="0"/>
                  <w:marBottom w:val="0"/>
                  <w:divBdr>
                    <w:top w:val="none" w:sz="0" w:space="0" w:color="auto"/>
                    <w:left w:val="none" w:sz="0" w:space="0" w:color="auto"/>
                    <w:bottom w:val="none" w:sz="0" w:space="0" w:color="auto"/>
                    <w:right w:val="none" w:sz="0" w:space="0" w:color="auto"/>
                  </w:divBdr>
                  <w:divsChild>
                    <w:div w:id="1371105922">
                      <w:marLeft w:val="0"/>
                      <w:marRight w:val="0"/>
                      <w:marTop w:val="0"/>
                      <w:marBottom w:val="0"/>
                      <w:divBdr>
                        <w:top w:val="none" w:sz="0" w:space="0" w:color="auto"/>
                        <w:left w:val="none" w:sz="0" w:space="0" w:color="auto"/>
                        <w:bottom w:val="none" w:sz="0" w:space="0" w:color="auto"/>
                        <w:right w:val="none" w:sz="0" w:space="0" w:color="auto"/>
                      </w:divBdr>
                      <w:divsChild>
                        <w:div w:id="11638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徐哲锋</dc:creator>
  <cp:lastModifiedBy>徐哲锋</cp:lastModifiedBy>
  <cp:revision>1</cp:revision>
  <dcterms:created xsi:type="dcterms:W3CDTF">2013-12-23T08:00:00Z</dcterms:created>
  <dcterms:modified xsi:type="dcterms:W3CDTF">2013-12-23T08:01:00Z</dcterms:modified>
</cp:coreProperties>
</file>